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CA16" w14:textId="77777777" w:rsidR="0090279B" w:rsidRPr="0090279B" w:rsidRDefault="0090279B" w:rsidP="0090279B">
      <w:pPr>
        <w:shd w:val="clear" w:color="auto" w:fill="FFFFFF"/>
        <w:tabs>
          <w:tab w:val="left" w:pos="851"/>
        </w:tabs>
        <w:outlineLvl w:val="0"/>
        <w:rPr>
          <w:rFonts w:cs="Arial"/>
          <w:b/>
          <w:bCs/>
          <w:caps/>
          <w:color w:val="000000"/>
          <w:kern w:val="36"/>
          <w:sz w:val="28"/>
          <w:szCs w:val="28"/>
        </w:rPr>
      </w:pPr>
      <w:r w:rsidRPr="0090279B">
        <w:rPr>
          <w:rFonts w:cs="Arial"/>
          <w:b/>
          <w:bCs/>
          <w:caps/>
          <w:color w:val="000000"/>
          <w:kern w:val="36"/>
          <w:sz w:val="28"/>
          <w:szCs w:val="28"/>
        </w:rPr>
        <w:t xml:space="preserve">sydämen aineenvaihdunnan pet-tt, FM1jr  </w:t>
      </w:r>
    </w:p>
    <w:p w14:paraId="654C95B1" w14:textId="77777777" w:rsidR="0090279B" w:rsidRPr="002A2211" w:rsidRDefault="0090279B" w:rsidP="0090279B">
      <w:pPr>
        <w:rPr>
          <w:sz w:val="24"/>
          <w:szCs w:val="24"/>
        </w:rPr>
      </w:pPr>
      <w:r w:rsidRPr="002A2211">
        <w:rPr>
          <w:sz w:val="24"/>
          <w:szCs w:val="24"/>
        </w:rPr>
        <w:t>SYDÄMEN SARKOIDOOSIN ARVIOINTI</w:t>
      </w:r>
    </w:p>
    <w:p w14:paraId="46179020" w14:textId="38306A00" w:rsidR="0090279B" w:rsidRPr="0090279B" w:rsidRDefault="0090279B" w:rsidP="0090279B">
      <w:pPr>
        <w:numPr>
          <w:ilvl w:val="0"/>
          <w:numId w:val="35"/>
        </w:numPr>
        <w:shd w:val="clear" w:color="auto" w:fill="FFFFFF"/>
        <w:spacing w:before="100" w:beforeAutospacing="1" w:after="100" w:afterAutospacing="1"/>
        <w:contextualSpacing/>
        <w:jc w:val="both"/>
        <w:outlineLvl w:val="0"/>
        <w:rPr>
          <w:rFonts w:cs="Arial"/>
          <w:b/>
          <w:bCs/>
          <w:caps/>
          <w:color w:val="000000"/>
          <w:kern w:val="36"/>
        </w:rPr>
      </w:pPr>
      <w:r w:rsidRPr="0090279B">
        <w:t xml:space="preserve">Peruttu Aineenvaihdunnan </w:t>
      </w:r>
      <w:r w:rsidR="00A718D1" w:rsidRPr="0090279B">
        <w:t>PET-TT-kuvaus</w:t>
      </w:r>
      <w:r w:rsidRPr="0090279B">
        <w:t>, radiolääkkeen lasku (ZXF48)</w:t>
      </w:r>
      <w:r w:rsidRPr="0090279B">
        <w:rPr>
          <w:rFonts w:cs="Arial"/>
          <w:b/>
          <w:bCs/>
          <w:caps/>
          <w:color w:val="000000"/>
          <w:kern w:val="36"/>
        </w:rPr>
        <w:t xml:space="preserve"> </w:t>
      </w:r>
    </w:p>
    <w:p w14:paraId="1D03D0EE" w14:textId="77777777" w:rsidR="0090279B" w:rsidRDefault="0090279B" w:rsidP="0090279B"/>
    <w:p w14:paraId="1100F9E3" w14:textId="53CA9004" w:rsidR="0090279B" w:rsidRPr="0090279B" w:rsidRDefault="0090279B" w:rsidP="0090279B">
      <w:r w:rsidRPr="0090279B">
        <w:t>PERIAATE</w:t>
      </w:r>
    </w:p>
    <w:p w14:paraId="6D7F4045" w14:textId="2B03E502" w:rsidR="0090279B" w:rsidRPr="0090279B" w:rsidRDefault="0090279B" w:rsidP="0090279B">
      <w:pPr>
        <w:ind w:left="851"/>
      </w:pPr>
      <w:r w:rsidRPr="0090279B">
        <w:t xml:space="preserve">Fluori-18-deoksiglukoosissa (FDG) D-glukoosin hiilirenkaan 2-aseman hydroksyyliryhmä on korvattu F-18-atomilla. Se kuljetetaan soluun kuten D-glukoosi. Tämän jälkeen FDG </w:t>
      </w:r>
      <w:r w:rsidR="002A2211" w:rsidRPr="0090279B">
        <w:t>fosforyloituu</w:t>
      </w:r>
      <w:r w:rsidRPr="0090279B">
        <w:t xml:space="preserve"> heksokinaasin vaikutuksesta FDG-6-fosfaatiksi. FDG:n aineenvaihdunta jää suurim</w:t>
      </w:r>
      <w:r w:rsidRPr="0090279B">
        <w:softHyphen/>
        <w:t>maksi osaksi tähän vaiheeseen. FDG-6-fosfaatti ei - toisin kuin vapaa FDG - läpäise solukal</w:t>
      </w:r>
      <w:r w:rsidRPr="0090279B">
        <w:softHyphen/>
        <w:t>voa, vaan jää solunsisäiseen loukkuun, missä F-18 hajoaa lähettäen positronin. Emit</w:t>
      </w:r>
      <w:r w:rsidRPr="0090279B">
        <w:softHyphen/>
        <w:t>toituvien po</w:t>
      </w:r>
      <w:r w:rsidRPr="0090279B">
        <w:softHyphen/>
        <w:t>sitronien määrä korreloi glukoosin määrään kussakin kuvauskentän pistees</w:t>
      </w:r>
      <w:r w:rsidRPr="0090279B">
        <w:softHyphen/>
        <w:t>sä. Positro</w:t>
      </w:r>
      <w:r w:rsidRPr="0090279B">
        <w:softHyphen/>
        <w:t>niemissiotomografiana otetuista leikekuvista saadaan käsitys glukoosimetaboli</w:t>
      </w:r>
      <w:r w:rsidRPr="0090279B">
        <w:softHyphen/>
        <w:t>an jakautu</w:t>
      </w:r>
      <w:r w:rsidRPr="0090279B">
        <w:softHyphen/>
        <w:t>masta kohdealueella.</w:t>
      </w:r>
    </w:p>
    <w:p w14:paraId="45D189DB" w14:textId="77777777" w:rsidR="0090279B" w:rsidRPr="0090279B" w:rsidRDefault="0090279B" w:rsidP="0090279B">
      <w:pPr>
        <w:ind w:left="851"/>
        <w:rPr>
          <w:color w:val="000000"/>
          <w:szCs w:val="24"/>
        </w:rPr>
      </w:pPr>
    </w:p>
    <w:p w14:paraId="12A27AE4" w14:textId="77777777" w:rsidR="0090279B" w:rsidRPr="0090279B" w:rsidRDefault="0090279B" w:rsidP="0090279B">
      <w:pPr>
        <w:ind w:left="851"/>
        <w:rPr>
          <w:szCs w:val="24"/>
        </w:rPr>
      </w:pPr>
      <w:r w:rsidRPr="0090279B">
        <w:rPr>
          <w:color w:val="000000"/>
          <w:szCs w:val="24"/>
        </w:rPr>
        <w:t>Aktiivisessa sarkoidoosipesäkkeessä on koholla oleva glukoosimetabolia ja alentunut perfuusio. Epäselvissä tapauksissa</w:t>
      </w:r>
      <w:r w:rsidRPr="0090279B">
        <w:t xml:space="preserve"> potilaalle tehdään lisäksi </w:t>
      </w:r>
      <w:hyperlink r:id="rId13" w:history="1">
        <w:r w:rsidRPr="0090279B">
          <w:rPr>
            <w:color w:val="0000FF"/>
            <w:u w:val="single"/>
          </w:rPr>
          <w:t>Sydänlihaksen perfuusion SPET ja matala-annos TT levossa.</w:t>
        </w:r>
      </w:hyperlink>
      <w:r w:rsidRPr="0090279B">
        <w:rPr>
          <w:color w:val="000000"/>
          <w:szCs w:val="24"/>
        </w:rPr>
        <w:t xml:space="preserve"> Sarkoidoosipesäkkeessä on alentunut perfuusio.</w:t>
      </w:r>
    </w:p>
    <w:p w14:paraId="7E51389E" w14:textId="77777777" w:rsidR="0090279B" w:rsidRPr="0090279B" w:rsidRDefault="0090279B" w:rsidP="0090279B">
      <w:pPr>
        <w:ind w:left="851"/>
      </w:pPr>
    </w:p>
    <w:p w14:paraId="0CF603A8" w14:textId="77777777" w:rsidR="0090279B" w:rsidRPr="0090279B" w:rsidRDefault="0090279B" w:rsidP="0090279B">
      <w:r w:rsidRPr="0090279B">
        <w:t>INDIKAATIOT</w:t>
      </w:r>
    </w:p>
    <w:p w14:paraId="54F6FA0E" w14:textId="77777777" w:rsidR="0090279B" w:rsidRPr="0090279B" w:rsidRDefault="0090279B" w:rsidP="0090279B">
      <w:pPr>
        <w:ind w:left="851"/>
        <w:rPr>
          <w:color w:val="000000"/>
          <w:szCs w:val="24"/>
        </w:rPr>
      </w:pPr>
      <w:r w:rsidRPr="0090279B">
        <w:rPr>
          <w:color w:val="000000"/>
          <w:szCs w:val="24"/>
        </w:rPr>
        <w:t>Sydämen sarkoidoosin arviointi.</w:t>
      </w:r>
    </w:p>
    <w:p w14:paraId="21E3C381" w14:textId="77777777" w:rsidR="0090279B" w:rsidRPr="0090279B" w:rsidRDefault="0090279B" w:rsidP="0090279B">
      <w:pPr>
        <w:ind w:left="851"/>
        <w:rPr>
          <w:rFonts w:ascii="Times New Roman" w:hAnsi="Times New Roman"/>
          <w:sz w:val="24"/>
          <w:szCs w:val="20"/>
        </w:rPr>
      </w:pPr>
    </w:p>
    <w:p w14:paraId="39CFEC3A" w14:textId="77777777" w:rsidR="0090279B" w:rsidRPr="0090279B" w:rsidRDefault="0090279B" w:rsidP="0090279B">
      <w:r w:rsidRPr="0090279B">
        <w:t>KONTRAINDIKAATIOT</w:t>
      </w:r>
    </w:p>
    <w:p w14:paraId="78A64808" w14:textId="0E2B970E" w:rsidR="0090279B" w:rsidRPr="0090279B" w:rsidRDefault="0090279B" w:rsidP="0090279B">
      <w:pPr>
        <w:ind w:left="851"/>
        <w:rPr>
          <w:color w:val="0000FF"/>
          <w:u w:val="single"/>
        </w:rPr>
      </w:pPr>
      <w:r w:rsidRPr="0090279B">
        <w:t xml:space="preserve">Raskaus suhteellinen, ks. Isotooppitutkimuksiin liittyviä yleisohjeita </w:t>
      </w:r>
      <w:r w:rsidRPr="0090279B">
        <w:fldChar w:fldCharType="begin"/>
      </w:r>
      <w:r w:rsidRPr="0090279B">
        <w:instrText xml:space="preserve"> HYPERLINK "https://intra.oysnet.ppshp.fi/dokumentit/_layouts/15/WopiFrame.aspx?sourcedoc=%7beae31f1e-88d6-46ce-9ab4-7882f83ad453%7d&amp;action=default" </w:instrText>
      </w:r>
      <w:r w:rsidRPr="0090279B">
        <w:fldChar w:fldCharType="separate"/>
      </w:r>
      <w:r w:rsidRPr="0090279B">
        <w:rPr>
          <w:color w:val="0000FF"/>
          <w:u w:val="single"/>
        </w:rPr>
        <w:t>Tut</w:t>
      </w:r>
      <w:r w:rsidRPr="0090279B">
        <w:rPr>
          <w:color w:val="0000FF"/>
          <w:u w:val="single"/>
        </w:rPr>
        <w:softHyphen/>
        <w:t>kimusten ja hoitojen ajoitus fertiili-ikäisillä naisilla.</w:t>
      </w:r>
    </w:p>
    <w:p w14:paraId="1E264861" w14:textId="77777777" w:rsidR="0090279B" w:rsidRPr="0090279B" w:rsidRDefault="0090279B" w:rsidP="0090279B">
      <w:r w:rsidRPr="0090279B">
        <w:fldChar w:fldCharType="end"/>
      </w:r>
    </w:p>
    <w:p w14:paraId="3DB37340" w14:textId="77777777" w:rsidR="0090279B" w:rsidRPr="0090279B" w:rsidRDefault="0090279B" w:rsidP="0090279B">
      <w:r w:rsidRPr="0090279B">
        <w:t>RADIOLÄÄKE, ANNOSTELU</w:t>
      </w:r>
    </w:p>
    <w:p w14:paraId="28593911" w14:textId="0EB3A421" w:rsidR="0090279B" w:rsidRPr="0090279B" w:rsidRDefault="0090279B" w:rsidP="0090279B">
      <w:pPr>
        <w:ind w:left="851"/>
      </w:pPr>
      <w:r w:rsidRPr="0090279B">
        <w:rPr>
          <w:vertAlign w:val="superscript"/>
        </w:rPr>
        <w:t>18F</w:t>
      </w:r>
      <w:r w:rsidRPr="0090279B">
        <w:t>-FDG-injektioneste toimitetaan valmiina injisoitavana annoksena tutkimuspäivän</w:t>
      </w:r>
      <w:r>
        <w:t xml:space="preserve"> </w:t>
      </w:r>
      <w:r w:rsidRPr="0090279B">
        <w:t>aamuna.</w:t>
      </w:r>
    </w:p>
    <w:p w14:paraId="01EEFA5A" w14:textId="77777777" w:rsidR="0090279B" w:rsidRPr="0090279B" w:rsidRDefault="0090279B" w:rsidP="0090279B">
      <w:pPr>
        <w:ind w:left="851"/>
        <w:rPr>
          <w:rFonts w:ascii="Times New Roman" w:hAnsi="Times New Roman"/>
          <w:sz w:val="24"/>
          <w:szCs w:val="20"/>
        </w:rPr>
      </w:pPr>
    </w:p>
    <w:p w14:paraId="4806F283" w14:textId="77777777" w:rsidR="0090279B" w:rsidRPr="0090279B" w:rsidRDefault="0090279B" w:rsidP="0090279B">
      <w:r w:rsidRPr="0090279B">
        <w:t>ANNOS</w:t>
      </w:r>
    </w:p>
    <w:p w14:paraId="4D925EB0" w14:textId="05BF2145" w:rsidR="0090279B" w:rsidRPr="0090279B" w:rsidRDefault="0090279B" w:rsidP="0090279B">
      <w:pPr>
        <w:ind w:left="1304" w:hanging="453"/>
      </w:pPr>
      <w:r w:rsidRPr="0090279B">
        <w:t>Annos painon mukaan,</w:t>
      </w:r>
      <w:r>
        <w:t xml:space="preserve"> </w:t>
      </w:r>
      <w:r w:rsidRPr="0090279B">
        <w:t>aikuisille 3 MBq/kg, maksimiannos 340 MBq.</w:t>
      </w:r>
    </w:p>
    <w:p w14:paraId="03476147" w14:textId="77777777" w:rsidR="0090279B" w:rsidRPr="0090279B" w:rsidRDefault="0090279B" w:rsidP="0090279B">
      <w:pPr>
        <w:ind w:left="851"/>
        <w:rPr>
          <w:rFonts w:ascii="Times New Roman" w:hAnsi="Times New Roman"/>
          <w:sz w:val="24"/>
          <w:szCs w:val="20"/>
        </w:rPr>
      </w:pPr>
    </w:p>
    <w:p w14:paraId="646BA460" w14:textId="77777777" w:rsidR="0090279B" w:rsidRPr="0090279B" w:rsidRDefault="0090279B" w:rsidP="0090279B">
      <w:pPr>
        <w:ind w:left="851" w:hanging="851"/>
      </w:pPr>
      <w:r w:rsidRPr="0090279B">
        <w:t>LÄÄKKEET</w:t>
      </w:r>
    </w:p>
    <w:p w14:paraId="108DF0F0" w14:textId="7DD3BC59" w:rsidR="0090279B" w:rsidRPr="0090279B" w:rsidRDefault="0090279B" w:rsidP="0090279B">
      <w:pPr>
        <w:ind w:left="1304" w:hanging="453"/>
      </w:pPr>
      <w:r w:rsidRPr="0090279B">
        <w:t xml:space="preserve">Tarvittaessa Diatsepaami, </w:t>
      </w:r>
      <w:proofErr w:type="spellStart"/>
      <w:r w:rsidRPr="0090279B">
        <w:t>tabl</w:t>
      </w:r>
      <w:proofErr w:type="spellEnd"/>
      <w:r w:rsidRPr="0090279B">
        <w:t xml:space="preserve">. (esim. </w:t>
      </w:r>
      <w:proofErr w:type="spellStart"/>
      <w:r w:rsidRPr="0090279B">
        <w:t>Diapam</w:t>
      </w:r>
      <w:proofErr w:type="spellEnd"/>
      <w:r w:rsidRPr="0090279B">
        <w:rPr>
          <w:vertAlign w:val="superscript"/>
        </w:rPr>
        <w:t>®</w:t>
      </w:r>
      <w:r w:rsidRPr="0090279B">
        <w:t xml:space="preserve"> 5 mg).</w:t>
      </w:r>
    </w:p>
    <w:p w14:paraId="3060ED8C" w14:textId="77777777" w:rsidR="0090279B" w:rsidRPr="0090279B" w:rsidRDefault="0090279B" w:rsidP="0090279B">
      <w:pPr>
        <w:ind w:left="851"/>
        <w:rPr>
          <w:rFonts w:ascii="Times New Roman" w:hAnsi="Times New Roman"/>
          <w:sz w:val="24"/>
          <w:szCs w:val="20"/>
        </w:rPr>
      </w:pPr>
    </w:p>
    <w:p w14:paraId="1185DCD8" w14:textId="2F7661E7" w:rsidR="0090279B" w:rsidRPr="0090279B" w:rsidRDefault="0090279B" w:rsidP="0090279B">
      <w:r w:rsidRPr="0090279B">
        <w:t>POTILAAN ESIVALMISTELU TUTKIMUSTA EDELTÄV</w:t>
      </w:r>
      <w:r w:rsidR="009111C9">
        <w:t>I</w:t>
      </w:r>
      <w:r w:rsidRPr="0090279B">
        <w:t xml:space="preserve">NÄ </w:t>
      </w:r>
      <w:r w:rsidR="009111C9">
        <w:t>KAHTENA VUOROKAUTENA</w:t>
      </w:r>
    </w:p>
    <w:p w14:paraId="5775FACC" w14:textId="63DD52E9" w:rsidR="0090279B" w:rsidRPr="002C396A" w:rsidRDefault="0090279B" w:rsidP="0090279B">
      <w:pPr>
        <w:ind w:left="851"/>
      </w:pPr>
      <w:r w:rsidRPr="0090279B">
        <w:t>Tutkimukseen valmistautuminen aloitetaan noudattamalla jo tut</w:t>
      </w:r>
      <w:r w:rsidRPr="008A6F0B">
        <w:t>kimusta edeltäv</w:t>
      </w:r>
      <w:r w:rsidR="00317FC2" w:rsidRPr="008A6F0B">
        <w:t>inä kahtena vuorokautena (</w:t>
      </w:r>
      <w:r w:rsidR="00420227" w:rsidRPr="008A6F0B">
        <w:t>48 h</w:t>
      </w:r>
      <w:r w:rsidR="00317FC2" w:rsidRPr="008A6F0B">
        <w:t>)</w:t>
      </w:r>
      <w:r w:rsidRPr="008A6F0B">
        <w:t xml:space="preserve"> runsaasti </w:t>
      </w:r>
      <w:r w:rsidRPr="0090279B">
        <w:t xml:space="preserve">rasvaa, mutta vähän hiilihydraatteja sisältävää ruokavalio-ohjetta. Ruokavalion tarkoituksena on tuottaa alhaiset sokeri- ja insuliinitasot sekä korkeat vapaiden rasvahappojen pitoisuudet. </w:t>
      </w:r>
      <w:r w:rsidRPr="0090279B">
        <w:rPr>
          <w:u w:val="single"/>
        </w:rPr>
        <w:t>Tutkimuslöydös ei ole luotettava, mikäli ruokavaliota ei noudateta.</w:t>
      </w:r>
      <w:r w:rsidR="00317FC2" w:rsidRPr="00317FC2">
        <w:t xml:space="preserve"> </w:t>
      </w:r>
      <w:r w:rsidR="00317FC2" w:rsidRPr="008A6F0B">
        <w:t xml:space="preserve">Veren ketoainepitoisuudet osoittavat, kuinka dieetti on onnistunut. Teemme potilaalle tutkimukseen tullessa ketoainepitoisuuden pikamittauksen ottamalla verinäytteen sormen päästä. </w:t>
      </w:r>
      <w:r w:rsidR="002C396A" w:rsidRPr="008A6F0B">
        <w:t>Arvon pitää olla yli 0,3 mmol/</w:t>
      </w:r>
      <w:r w:rsidR="009D655E" w:rsidRPr="008A6F0B">
        <w:t>L</w:t>
      </w:r>
      <w:r w:rsidR="002C396A" w:rsidRPr="008A6F0B">
        <w:t>. Jos arvo on 0,3 mmol/</w:t>
      </w:r>
      <w:r w:rsidR="009D655E" w:rsidRPr="008A6F0B">
        <w:t>L</w:t>
      </w:r>
      <w:r w:rsidR="00317FC2" w:rsidRPr="008A6F0B">
        <w:t xml:space="preserve"> tai alle</w:t>
      </w:r>
      <w:r w:rsidR="002C396A" w:rsidRPr="008A6F0B">
        <w:t>, vaikka potilas on noudattanut ruokavaliota, soitetaan radiologille jatkotoimista.</w:t>
      </w:r>
    </w:p>
    <w:p w14:paraId="64234404" w14:textId="77777777" w:rsidR="0090279B" w:rsidRPr="0090279B" w:rsidRDefault="0090279B" w:rsidP="0090279B">
      <w:pPr>
        <w:ind w:left="851"/>
        <w:jc w:val="both"/>
        <w:rPr>
          <w:color w:val="FF0000"/>
        </w:rPr>
      </w:pPr>
    </w:p>
    <w:p w14:paraId="37F53A79" w14:textId="77777777" w:rsidR="0090279B" w:rsidRPr="0090279B" w:rsidRDefault="0090279B" w:rsidP="0090279B">
      <w:pPr>
        <w:ind w:left="1134"/>
        <w:rPr>
          <w:b/>
          <w:szCs w:val="24"/>
        </w:rPr>
      </w:pPr>
      <w:r w:rsidRPr="0090279B">
        <w:rPr>
          <w:b/>
          <w:szCs w:val="24"/>
        </w:rPr>
        <w:t>Sallitut ruoat:</w:t>
      </w:r>
    </w:p>
    <w:p w14:paraId="55D118CF" w14:textId="77777777" w:rsidR="0090279B" w:rsidRPr="0090279B" w:rsidRDefault="0090279B" w:rsidP="0090279B">
      <w:pPr>
        <w:numPr>
          <w:ilvl w:val="0"/>
          <w:numId w:val="26"/>
        </w:numPr>
        <w:ind w:left="1560" w:hanging="426"/>
      </w:pPr>
      <w:r w:rsidRPr="0090279B">
        <w:t>Liha (EI marinoitu liha!): possu, pekoni, nauta, broileri, kalkkuna, kala, kananmuna, hirvi, poro, lammas, äyriäiset</w:t>
      </w:r>
    </w:p>
    <w:p w14:paraId="51B1A9C5" w14:textId="77777777" w:rsidR="0090279B" w:rsidRPr="0090279B" w:rsidRDefault="0090279B" w:rsidP="0090279B">
      <w:pPr>
        <w:numPr>
          <w:ilvl w:val="0"/>
          <w:numId w:val="26"/>
        </w:numPr>
        <w:spacing w:after="200"/>
        <w:ind w:left="1560" w:hanging="426"/>
        <w:contextualSpacing/>
      </w:pPr>
      <w:r w:rsidRPr="0090279B">
        <w:lastRenderedPageBreak/>
        <w:t>Täyslihaleikkeleet ja -makkarat (A-luokka)</w:t>
      </w:r>
    </w:p>
    <w:p w14:paraId="27CACBFA" w14:textId="77777777" w:rsidR="0090279B" w:rsidRPr="0090279B" w:rsidRDefault="0090279B" w:rsidP="0090279B">
      <w:pPr>
        <w:numPr>
          <w:ilvl w:val="0"/>
          <w:numId w:val="26"/>
        </w:numPr>
        <w:spacing w:after="200"/>
        <w:ind w:left="1560" w:hanging="426"/>
        <w:contextualSpacing/>
      </w:pPr>
      <w:r w:rsidRPr="0090279B">
        <w:t>Kypsytetyt juustot, esim. Edam, Emmental, Polar, Turunmaa, raejuusto, tofu</w:t>
      </w:r>
    </w:p>
    <w:p w14:paraId="29FFEE65" w14:textId="77777777" w:rsidR="0090279B" w:rsidRPr="0090279B" w:rsidRDefault="0090279B" w:rsidP="0090279B">
      <w:pPr>
        <w:numPr>
          <w:ilvl w:val="0"/>
          <w:numId w:val="26"/>
        </w:numPr>
        <w:spacing w:after="200"/>
        <w:ind w:left="1560" w:hanging="426"/>
        <w:contextualSpacing/>
      </w:pPr>
      <w:r w:rsidRPr="0090279B">
        <w:t>Kesäkurpitsa, tuorekurkku</w:t>
      </w:r>
    </w:p>
    <w:p w14:paraId="5A69517C" w14:textId="77777777" w:rsidR="0090279B" w:rsidRPr="0090279B" w:rsidRDefault="0090279B" w:rsidP="0090279B">
      <w:pPr>
        <w:numPr>
          <w:ilvl w:val="0"/>
          <w:numId w:val="26"/>
        </w:numPr>
        <w:spacing w:after="200"/>
        <w:ind w:left="1560" w:hanging="426"/>
        <w:contextualSpacing/>
      </w:pPr>
      <w:r w:rsidRPr="0090279B">
        <w:t>Parsakaali, kukkakaali, kiinankaali, salaatti, pinaatti, persilja, tilli, ruohosipuli</w:t>
      </w:r>
    </w:p>
    <w:p w14:paraId="1567F61D" w14:textId="77777777" w:rsidR="0090279B" w:rsidRPr="0090279B" w:rsidRDefault="0090279B" w:rsidP="0090279B">
      <w:pPr>
        <w:numPr>
          <w:ilvl w:val="0"/>
          <w:numId w:val="26"/>
        </w:numPr>
        <w:spacing w:after="200"/>
        <w:ind w:left="1560" w:hanging="426"/>
        <w:contextualSpacing/>
      </w:pPr>
      <w:r w:rsidRPr="0090279B">
        <w:t>Sienet</w:t>
      </w:r>
    </w:p>
    <w:p w14:paraId="505977DF" w14:textId="77777777" w:rsidR="0090279B" w:rsidRPr="0090279B" w:rsidRDefault="0090279B" w:rsidP="0090279B">
      <w:pPr>
        <w:numPr>
          <w:ilvl w:val="0"/>
          <w:numId w:val="26"/>
        </w:numPr>
        <w:spacing w:after="200"/>
        <w:ind w:left="1560" w:hanging="426"/>
        <w:contextualSpacing/>
      </w:pPr>
      <w:r w:rsidRPr="0090279B">
        <w:t>Kasviöljy, margariini (70 % rasvaa sisältävä)</w:t>
      </w:r>
    </w:p>
    <w:p w14:paraId="13588ED7" w14:textId="77777777" w:rsidR="0090279B" w:rsidRPr="0090279B" w:rsidRDefault="0090279B" w:rsidP="0090279B">
      <w:pPr>
        <w:numPr>
          <w:ilvl w:val="0"/>
          <w:numId w:val="26"/>
        </w:numPr>
        <w:spacing w:after="200"/>
        <w:ind w:left="1560" w:hanging="426"/>
        <w:contextualSpacing/>
      </w:pPr>
      <w:r w:rsidRPr="0090279B">
        <w:t>Maidoton margariini (tumman sininen Keiju)</w:t>
      </w:r>
    </w:p>
    <w:p w14:paraId="476C8600" w14:textId="77777777" w:rsidR="0090279B" w:rsidRPr="0090279B" w:rsidRDefault="0090279B" w:rsidP="0090279B">
      <w:pPr>
        <w:numPr>
          <w:ilvl w:val="0"/>
          <w:numId w:val="26"/>
        </w:numPr>
        <w:spacing w:after="200"/>
        <w:ind w:left="1560" w:hanging="426"/>
        <w:contextualSpacing/>
      </w:pPr>
      <w:r w:rsidRPr="0090279B">
        <w:t>Kirkkaat liemet (liha- kala-, kana- ja kasvisliemi)</w:t>
      </w:r>
    </w:p>
    <w:p w14:paraId="295D9B2C" w14:textId="77777777" w:rsidR="0090279B" w:rsidRPr="0090279B" w:rsidRDefault="0090279B" w:rsidP="0090279B">
      <w:pPr>
        <w:numPr>
          <w:ilvl w:val="0"/>
          <w:numId w:val="26"/>
        </w:numPr>
        <w:spacing w:after="200"/>
        <w:ind w:left="1560" w:hanging="426"/>
        <w:contextualSpacing/>
      </w:pPr>
      <w:r w:rsidRPr="0090279B">
        <w:t>Majoneesi (EI kevytmajoneesi)</w:t>
      </w:r>
    </w:p>
    <w:p w14:paraId="0716B36A" w14:textId="77777777" w:rsidR="0090279B" w:rsidRDefault="0090279B" w:rsidP="0090279B">
      <w:pPr>
        <w:numPr>
          <w:ilvl w:val="0"/>
          <w:numId w:val="26"/>
        </w:numPr>
        <w:spacing w:after="200"/>
        <w:ind w:left="1560" w:hanging="426"/>
        <w:contextualSpacing/>
      </w:pPr>
      <w:r w:rsidRPr="0090279B">
        <w:t>Kahvi, tee (kahviin ja teehen ei sokeria tai maitoa!), vesi</w:t>
      </w:r>
    </w:p>
    <w:p w14:paraId="472E117A" w14:textId="77777777" w:rsidR="00A718D1" w:rsidRPr="0090279B" w:rsidRDefault="00A718D1" w:rsidP="00A718D1">
      <w:pPr>
        <w:spacing w:after="200"/>
        <w:ind w:left="1560"/>
        <w:contextualSpacing/>
      </w:pPr>
    </w:p>
    <w:p w14:paraId="0CEDA77A" w14:textId="1CAC3DF6" w:rsidR="0090279B" w:rsidRPr="0090279B" w:rsidRDefault="0090279B" w:rsidP="0090279B">
      <w:pPr>
        <w:ind w:left="1701" w:hanging="567"/>
        <w:rPr>
          <w:b/>
        </w:rPr>
      </w:pPr>
      <w:r w:rsidRPr="0090279B">
        <w:rPr>
          <w:b/>
        </w:rPr>
        <w:t>Kielletyt ruoat:</w:t>
      </w:r>
    </w:p>
    <w:p w14:paraId="143EAF1E" w14:textId="77777777" w:rsidR="0090279B" w:rsidRPr="0090279B" w:rsidRDefault="0090279B" w:rsidP="0090279B">
      <w:pPr>
        <w:numPr>
          <w:ilvl w:val="0"/>
          <w:numId w:val="27"/>
        </w:numPr>
        <w:spacing w:after="200"/>
        <w:ind w:left="1560" w:hanging="426"/>
        <w:contextualSpacing/>
      </w:pPr>
      <w:r w:rsidRPr="0090279B">
        <w:t>Maito, hapanmaitotuotteet</w:t>
      </w:r>
    </w:p>
    <w:p w14:paraId="43D0C36D" w14:textId="77777777" w:rsidR="0090279B" w:rsidRPr="0090279B" w:rsidRDefault="0090279B" w:rsidP="0090279B">
      <w:pPr>
        <w:numPr>
          <w:ilvl w:val="0"/>
          <w:numId w:val="27"/>
        </w:numPr>
        <w:spacing w:after="200"/>
        <w:ind w:left="1560" w:hanging="426"/>
        <w:contextualSpacing/>
      </w:pPr>
      <w:r w:rsidRPr="0090279B">
        <w:t>Vilja eri muodoissaan (leipä, pasta, riisi, murot, keksit, leivonnaiset)</w:t>
      </w:r>
    </w:p>
    <w:p w14:paraId="3AE608E9" w14:textId="77777777" w:rsidR="0090279B" w:rsidRPr="0090279B" w:rsidRDefault="0090279B" w:rsidP="0090279B">
      <w:pPr>
        <w:numPr>
          <w:ilvl w:val="0"/>
          <w:numId w:val="27"/>
        </w:numPr>
        <w:spacing w:after="200"/>
        <w:ind w:left="1560" w:hanging="426"/>
        <w:contextualSpacing/>
      </w:pPr>
      <w:r w:rsidRPr="0090279B">
        <w:t>Peruna, porkkana, punajuuri</w:t>
      </w:r>
    </w:p>
    <w:p w14:paraId="25F0A418" w14:textId="77777777" w:rsidR="0090279B" w:rsidRPr="0090279B" w:rsidRDefault="0090279B" w:rsidP="0090279B">
      <w:pPr>
        <w:numPr>
          <w:ilvl w:val="0"/>
          <w:numId w:val="27"/>
        </w:numPr>
        <w:spacing w:after="200"/>
        <w:ind w:left="1560" w:hanging="426"/>
        <w:contextualSpacing/>
      </w:pPr>
      <w:r w:rsidRPr="0090279B">
        <w:t>Tomaatti, maissi, paprika, herne, pavut, linssit, sipulit</w:t>
      </w:r>
    </w:p>
    <w:p w14:paraId="1BD3F135" w14:textId="77777777" w:rsidR="0090279B" w:rsidRPr="0090279B" w:rsidRDefault="0090279B" w:rsidP="0090279B">
      <w:pPr>
        <w:numPr>
          <w:ilvl w:val="0"/>
          <w:numId w:val="27"/>
        </w:numPr>
        <w:spacing w:after="200"/>
        <w:ind w:left="1560" w:hanging="426"/>
        <w:contextualSpacing/>
      </w:pPr>
      <w:r w:rsidRPr="0090279B">
        <w:t>Pähkinät, mantelit</w:t>
      </w:r>
    </w:p>
    <w:p w14:paraId="2CD9327B" w14:textId="77777777" w:rsidR="0090279B" w:rsidRPr="0090279B" w:rsidRDefault="0090279B" w:rsidP="0090279B">
      <w:pPr>
        <w:numPr>
          <w:ilvl w:val="0"/>
          <w:numId w:val="27"/>
        </w:numPr>
        <w:spacing w:after="200"/>
        <w:ind w:left="1560" w:hanging="426"/>
        <w:contextualSpacing/>
      </w:pPr>
      <w:r w:rsidRPr="0090279B">
        <w:t>Kaikki marjat eri muodoissaan</w:t>
      </w:r>
    </w:p>
    <w:p w14:paraId="23726350" w14:textId="77777777" w:rsidR="0090279B" w:rsidRPr="0090279B" w:rsidRDefault="0090279B" w:rsidP="0090279B">
      <w:pPr>
        <w:numPr>
          <w:ilvl w:val="0"/>
          <w:numId w:val="27"/>
        </w:numPr>
        <w:spacing w:after="200"/>
        <w:ind w:left="1560" w:hanging="426"/>
        <w:contextualSpacing/>
      </w:pPr>
      <w:r w:rsidRPr="0090279B">
        <w:t>Kaikki hedelmät eri muodoissaan</w:t>
      </w:r>
    </w:p>
    <w:p w14:paraId="7658CA9A" w14:textId="77777777" w:rsidR="0090279B" w:rsidRPr="0090279B" w:rsidRDefault="0090279B" w:rsidP="0090279B">
      <w:pPr>
        <w:numPr>
          <w:ilvl w:val="0"/>
          <w:numId w:val="27"/>
        </w:numPr>
        <w:spacing w:after="200"/>
        <w:ind w:left="1560" w:hanging="426"/>
        <w:contextualSpacing/>
      </w:pPr>
      <w:r w:rsidRPr="0090279B">
        <w:t>Sokeri, hunaja, makeiset, suklaa, purukumi, pastillit</w:t>
      </w:r>
    </w:p>
    <w:p w14:paraId="47616E48" w14:textId="147201BA" w:rsidR="0090279B" w:rsidRPr="0090279B" w:rsidRDefault="0090279B" w:rsidP="0090279B">
      <w:pPr>
        <w:numPr>
          <w:ilvl w:val="0"/>
          <w:numId w:val="27"/>
        </w:numPr>
        <w:spacing w:after="200"/>
        <w:ind w:left="1560" w:hanging="426"/>
        <w:contextualSpacing/>
      </w:pPr>
      <w:r w:rsidRPr="0090279B">
        <w:t>Mehut, limonadit, alkoholi, energiajuomat</w:t>
      </w:r>
      <w:r w:rsidR="008A6F0B">
        <w:t xml:space="preserve"> ja nuuska sekä nikotiinipussit</w:t>
      </w:r>
    </w:p>
    <w:p w14:paraId="7FD08F34" w14:textId="77777777" w:rsidR="0090279B" w:rsidRDefault="0090279B" w:rsidP="0090279B">
      <w:pPr>
        <w:numPr>
          <w:ilvl w:val="0"/>
          <w:numId w:val="27"/>
        </w:numPr>
        <w:spacing w:after="200"/>
        <w:ind w:left="1560" w:hanging="426"/>
        <w:contextualSpacing/>
      </w:pPr>
      <w:r w:rsidRPr="0090279B">
        <w:t>Muut sallittujen listalla luettelemattomat ruoat</w:t>
      </w:r>
    </w:p>
    <w:p w14:paraId="2C0F2813" w14:textId="77777777" w:rsidR="00A718D1" w:rsidRPr="0090279B" w:rsidRDefault="00A718D1" w:rsidP="00A718D1">
      <w:pPr>
        <w:spacing w:after="200"/>
        <w:ind w:left="1560"/>
        <w:contextualSpacing/>
      </w:pPr>
    </w:p>
    <w:p w14:paraId="7F12AFEE" w14:textId="77777777" w:rsidR="0090279B" w:rsidRPr="0090279B" w:rsidRDefault="0090279B" w:rsidP="0090279B">
      <w:pPr>
        <w:autoSpaceDE w:val="0"/>
        <w:autoSpaceDN w:val="0"/>
        <w:adjustRightInd w:val="0"/>
        <w:ind w:left="1701" w:hanging="567"/>
        <w:rPr>
          <w:b/>
        </w:rPr>
      </w:pPr>
      <w:r w:rsidRPr="0090279B">
        <w:rPr>
          <w:b/>
        </w:rPr>
        <w:t>Aterialla käytetään runsaasti rasvaa.</w:t>
      </w:r>
    </w:p>
    <w:p w14:paraId="0AF428FD" w14:textId="4DB6EDF5" w:rsidR="0090279B" w:rsidRPr="0090279B" w:rsidRDefault="0090279B" w:rsidP="0090279B">
      <w:pPr>
        <w:numPr>
          <w:ilvl w:val="0"/>
          <w:numId w:val="28"/>
        </w:numPr>
        <w:autoSpaceDE w:val="0"/>
        <w:autoSpaceDN w:val="0"/>
        <w:adjustRightInd w:val="0"/>
        <w:ind w:left="1560" w:hanging="426"/>
        <w:contextualSpacing/>
      </w:pPr>
      <w:r w:rsidRPr="0090279B">
        <w:t xml:space="preserve">Ateriaan lisätään </w:t>
      </w:r>
      <w:r w:rsidR="00A718D1" w:rsidRPr="0090279B">
        <w:t>1–2</w:t>
      </w:r>
      <w:r w:rsidRPr="0090279B">
        <w:t xml:space="preserve"> ruokalusikallista rypsi- tai oliiviöljyä.</w:t>
      </w:r>
    </w:p>
    <w:p w14:paraId="53D51833" w14:textId="77777777" w:rsidR="0090279B" w:rsidRPr="0090279B" w:rsidRDefault="0090279B" w:rsidP="0090279B">
      <w:pPr>
        <w:numPr>
          <w:ilvl w:val="0"/>
          <w:numId w:val="28"/>
        </w:numPr>
        <w:autoSpaceDE w:val="0"/>
        <w:autoSpaceDN w:val="0"/>
        <w:adjustRightInd w:val="0"/>
        <w:ind w:left="1560" w:hanging="426"/>
        <w:contextualSpacing/>
      </w:pPr>
      <w:r w:rsidRPr="0090279B">
        <w:t>Vaihtoehtoisesti voidaan käyttää vastaava määrä Keiju 70 %:sta (tumman sininen) ruokaan sekoitettuna.</w:t>
      </w:r>
    </w:p>
    <w:p w14:paraId="310E2F66" w14:textId="77777777" w:rsidR="0090279B" w:rsidRPr="0090279B" w:rsidRDefault="0090279B" w:rsidP="0090279B">
      <w:pPr>
        <w:ind w:left="1701" w:hanging="567"/>
      </w:pPr>
    </w:p>
    <w:p w14:paraId="083D31DA" w14:textId="46344093" w:rsidR="0090279B" w:rsidRPr="0090279B" w:rsidRDefault="0090279B" w:rsidP="0090279B">
      <w:pPr>
        <w:ind w:left="1134"/>
        <w:rPr>
          <w:b/>
        </w:rPr>
      </w:pPr>
      <w:r w:rsidRPr="0090279B">
        <w:rPr>
          <w:b/>
        </w:rPr>
        <w:t xml:space="preserve">Ateriaesimerkkejä tutkimusta </w:t>
      </w:r>
      <w:r w:rsidRPr="008A6F0B">
        <w:rPr>
          <w:b/>
        </w:rPr>
        <w:t>edeltäv</w:t>
      </w:r>
      <w:r w:rsidR="00626E5E" w:rsidRPr="008A6F0B">
        <w:rPr>
          <w:b/>
        </w:rPr>
        <w:t>inä kahtena vuorokautena</w:t>
      </w:r>
      <w:r w:rsidRPr="008A6F0B">
        <w:rPr>
          <w:b/>
        </w:rPr>
        <w:t xml:space="preserve"> </w:t>
      </w:r>
      <w:r w:rsidRPr="0090279B">
        <w:rPr>
          <w:b/>
        </w:rPr>
        <w:t xml:space="preserve">(aamiaiselle, lounaalle </w:t>
      </w:r>
      <w:r w:rsidR="00626E5E">
        <w:rPr>
          <w:b/>
        </w:rPr>
        <w:t xml:space="preserve">ja </w:t>
      </w:r>
      <w:r w:rsidRPr="0090279B">
        <w:rPr>
          <w:b/>
        </w:rPr>
        <w:t>päivälliselle) ennen 12 tunnin paaston alkamista:</w:t>
      </w:r>
    </w:p>
    <w:p w14:paraId="6BBB2B89" w14:textId="77777777" w:rsidR="00872BF3" w:rsidRDefault="0090279B" w:rsidP="00872BF3">
      <w:pPr>
        <w:numPr>
          <w:ilvl w:val="0"/>
          <w:numId w:val="29"/>
        </w:numPr>
        <w:ind w:left="1560" w:hanging="426"/>
      </w:pPr>
      <w:r w:rsidRPr="0090279B">
        <w:t>Pekonimunakas</w:t>
      </w:r>
    </w:p>
    <w:p w14:paraId="4B178B74" w14:textId="77777777" w:rsidR="00872BF3" w:rsidRDefault="0090279B" w:rsidP="00872BF3">
      <w:pPr>
        <w:numPr>
          <w:ilvl w:val="1"/>
          <w:numId w:val="29"/>
        </w:numPr>
      </w:pPr>
      <w:r w:rsidRPr="0090279B">
        <w:t>kananmunaa, pekonia, mausteita ja Keijua (tumman sininen)</w:t>
      </w:r>
    </w:p>
    <w:p w14:paraId="47204620" w14:textId="5E99BDE9" w:rsidR="0090279B" w:rsidRPr="0090279B" w:rsidRDefault="0090279B" w:rsidP="00872BF3">
      <w:pPr>
        <w:numPr>
          <w:ilvl w:val="1"/>
          <w:numId w:val="29"/>
        </w:numPr>
      </w:pPr>
      <w:r w:rsidRPr="0090279B">
        <w:t>juomana vesi</w:t>
      </w:r>
    </w:p>
    <w:p w14:paraId="080FAB11" w14:textId="77777777" w:rsidR="00872BF3" w:rsidRDefault="0090279B" w:rsidP="00872BF3">
      <w:pPr>
        <w:numPr>
          <w:ilvl w:val="0"/>
          <w:numId w:val="29"/>
        </w:numPr>
        <w:ind w:left="1560" w:hanging="426"/>
      </w:pPr>
      <w:r w:rsidRPr="0090279B">
        <w:t>Paistettu lohi ja höyrytetty parsakaali</w:t>
      </w:r>
    </w:p>
    <w:p w14:paraId="43ED03FF" w14:textId="77777777" w:rsidR="00872BF3" w:rsidRDefault="0090279B" w:rsidP="00872BF3">
      <w:pPr>
        <w:numPr>
          <w:ilvl w:val="1"/>
          <w:numId w:val="29"/>
        </w:numPr>
      </w:pPr>
      <w:r w:rsidRPr="0090279B">
        <w:t>kurkkumajoneesi – majoneesia (EI kevytmajoneesia) ja tuorekurkkua</w:t>
      </w:r>
    </w:p>
    <w:p w14:paraId="3B2FD345" w14:textId="5912DE75" w:rsidR="0090279B" w:rsidRPr="0090279B" w:rsidRDefault="0090279B" w:rsidP="00872BF3">
      <w:pPr>
        <w:numPr>
          <w:ilvl w:val="1"/>
          <w:numId w:val="29"/>
        </w:numPr>
      </w:pPr>
      <w:r w:rsidRPr="0090279B">
        <w:t>juomana vesi</w:t>
      </w:r>
    </w:p>
    <w:p w14:paraId="5C6918C5" w14:textId="77777777" w:rsidR="00872BF3" w:rsidRDefault="0090279B" w:rsidP="00872BF3">
      <w:pPr>
        <w:numPr>
          <w:ilvl w:val="0"/>
          <w:numId w:val="29"/>
        </w:numPr>
        <w:ind w:left="1560" w:hanging="426"/>
      </w:pPr>
      <w:r w:rsidRPr="0090279B">
        <w:t>Tonnikala ja dippikasvikset</w:t>
      </w:r>
    </w:p>
    <w:p w14:paraId="13BC383D" w14:textId="274CC664" w:rsidR="00626E5E" w:rsidRDefault="0090279B" w:rsidP="00872BF3">
      <w:pPr>
        <w:numPr>
          <w:ilvl w:val="1"/>
          <w:numId w:val="29"/>
        </w:numPr>
      </w:pPr>
      <w:r w:rsidRPr="0090279B">
        <w:t>tonnikalaa öljyssä + kukkakaalia, kurkkua (ja majoneesia, EI kevytmajoneesia)</w:t>
      </w:r>
    </w:p>
    <w:p w14:paraId="6ACB2125" w14:textId="12571D9E" w:rsidR="00626E5E" w:rsidRPr="008A6F0B" w:rsidRDefault="00626E5E" w:rsidP="00626E5E">
      <w:pPr>
        <w:numPr>
          <w:ilvl w:val="0"/>
          <w:numId w:val="29"/>
        </w:numPr>
        <w:ind w:left="1560" w:hanging="426"/>
      </w:pPr>
      <w:r w:rsidRPr="008A6F0B">
        <w:t>Muut ateriat/välipalat</w:t>
      </w:r>
    </w:p>
    <w:p w14:paraId="335C8F7B" w14:textId="15C2199B" w:rsidR="00626E5E" w:rsidRPr="008A6F0B" w:rsidRDefault="00626E5E" w:rsidP="00626E5E">
      <w:pPr>
        <w:numPr>
          <w:ilvl w:val="1"/>
          <w:numId w:val="29"/>
        </w:numPr>
      </w:pPr>
      <w:r w:rsidRPr="008A6F0B">
        <w:t xml:space="preserve">noudata tarkasti </w:t>
      </w:r>
      <w:r w:rsidRPr="008A6F0B">
        <w:rPr>
          <w:b/>
          <w:bCs/>
        </w:rPr>
        <w:t>Sallitut ruoat</w:t>
      </w:r>
      <w:r w:rsidRPr="008A6F0B">
        <w:t xml:space="preserve"> -listan vaihtoehtoja</w:t>
      </w:r>
    </w:p>
    <w:p w14:paraId="2381E5B6" w14:textId="3F159CDE" w:rsidR="0090279B" w:rsidRPr="0090279B" w:rsidRDefault="0090279B" w:rsidP="0090279B">
      <w:pPr>
        <w:keepNext/>
        <w:spacing w:before="240" w:after="240"/>
        <w:outlineLvl w:val="0"/>
        <w:rPr>
          <w:b/>
          <w:kern w:val="28"/>
          <w:sz w:val="28"/>
        </w:rPr>
      </w:pPr>
      <w:r w:rsidRPr="0090279B">
        <w:rPr>
          <w:kern w:val="28"/>
        </w:rPr>
        <w:t>Nuuska saattaa sisältää makeutusaineita, joten sen käyttö on kiellettyä tutkimuspäivä</w:t>
      </w:r>
      <w:r w:rsidR="006A1E8C">
        <w:rPr>
          <w:kern w:val="28"/>
        </w:rPr>
        <w:t>nä</w:t>
      </w:r>
      <w:r w:rsidRPr="0090279B">
        <w:rPr>
          <w:kern w:val="28"/>
        </w:rPr>
        <w:t xml:space="preserve"> ja sitä edellis</w:t>
      </w:r>
      <w:r w:rsidR="008A6F0B">
        <w:rPr>
          <w:kern w:val="28"/>
        </w:rPr>
        <w:t>i</w:t>
      </w:r>
      <w:r w:rsidRPr="0090279B">
        <w:rPr>
          <w:kern w:val="28"/>
        </w:rPr>
        <w:t>nä</w:t>
      </w:r>
      <w:r w:rsidR="008A6F0B">
        <w:rPr>
          <w:kern w:val="28"/>
        </w:rPr>
        <w:t xml:space="preserve"> kahtena</w:t>
      </w:r>
      <w:r w:rsidRPr="0090279B">
        <w:rPr>
          <w:kern w:val="28"/>
        </w:rPr>
        <w:t xml:space="preserve"> </w:t>
      </w:r>
      <w:r w:rsidR="008A6F0B">
        <w:rPr>
          <w:kern w:val="28"/>
        </w:rPr>
        <w:t>vuorokautena</w:t>
      </w:r>
      <w:r w:rsidRPr="0090279B">
        <w:rPr>
          <w:kern w:val="28"/>
        </w:rPr>
        <w:t>.</w:t>
      </w:r>
    </w:p>
    <w:p w14:paraId="49564EA2" w14:textId="7C9687E6" w:rsidR="0090279B" w:rsidRPr="0090279B" w:rsidRDefault="0090279B" w:rsidP="0090279B">
      <w:pPr>
        <w:ind w:left="1134"/>
        <w:rPr>
          <w:color w:val="FF0000"/>
        </w:rPr>
      </w:pPr>
      <w:r w:rsidRPr="0090279B">
        <w:rPr>
          <w:b/>
          <w:color w:val="FF0000"/>
        </w:rPr>
        <w:t xml:space="preserve">Mikäli tutkimusta </w:t>
      </w:r>
      <w:r w:rsidRPr="008A6F0B">
        <w:rPr>
          <w:b/>
          <w:color w:val="FF0000"/>
        </w:rPr>
        <w:t>edeltäv</w:t>
      </w:r>
      <w:r w:rsidR="009111C9">
        <w:rPr>
          <w:b/>
          <w:color w:val="FF0000"/>
        </w:rPr>
        <w:t>ä</w:t>
      </w:r>
      <w:r w:rsidRPr="008A6F0B">
        <w:rPr>
          <w:b/>
          <w:color w:val="FF0000"/>
        </w:rPr>
        <w:t>n</w:t>
      </w:r>
      <w:r w:rsidR="006A1E8C" w:rsidRPr="008A6F0B">
        <w:rPr>
          <w:b/>
          <w:color w:val="FF0000"/>
        </w:rPr>
        <w:t xml:space="preserve"> kahden vuorokauden </w:t>
      </w:r>
      <w:r w:rsidRPr="0090279B">
        <w:rPr>
          <w:b/>
          <w:color w:val="FF0000"/>
        </w:rPr>
        <w:t>ruokavalio-ohjetta ja tutkimuspäivän paasto-ohjetta ei ole noudatettu, tutkimus joudutaan todennäköisesti perumaan.</w:t>
      </w:r>
    </w:p>
    <w:p w14:paraId="0F137CB0" w14:textId="77777777" w:rsidR="0090279B" w:rsidRPr="0090279B" w:rsidRDefault="0090279B" w:rsidP="0090279B"/>
    <w:p w14:paraId="79A32BA0" w14:textId="183181AB" w:rsidR="0090279B" w:rsidRPr="0090279B" w:rsidRDefault="009111C9" w:rsidP="0090279B">
      <w:r>
        <w:t>ENNEN TUTKIMUSTA</w:t>
      </w:r>
    </w:p>
    <w:p w14:paraId="25B1870A" w14:textId="3D7B52FF" w:rsidR="009111C9" w:rsidRDefault="0090279B" w:rsidP="009111C9">
      <w:pPr>
        <w:numPr>
          <w:ilvl w:val="0"/>
          <w:numId w:val="36"/>
        </w:numPr>
        <w:ind w:left="1276" w:hanging="425"/>
        <w:contextualSpacing/>
      </w:pPr>
      <w:r w:rsidRPr="0090279B">
        <w:t>Potilaan tulee paastota 12 tuntia.</w:t>
      </w:r>
      <w:r w:rsidRPr="0090279B">
        <w:rPr>
          <w:color w:val="000000"/>
          <w:szCs w:val="24"/>
        </w:rPr>
        <w:t xml:space="preserve"> </w:t>
      </w:r>
    </w:p>
    <w:p w14:paraId="72098E18" w14:textId="77777777" w:rsidR="009111C9" w:rsidRPr="009111C9" w:rsidRDefault="0090279B" w:rsidP="009111C9">
      <w:pPr>
        <w:numPr>
          <w:ilvl w:val="0"/>
          <w:numId w:val="36"/>
        </w:numPr>
        <w:ind w:left="1276" w:hanging="425"/>
        <w:contextualSpacing/>
      </w:pPr>
      <w:r w:rsidRPr="0090279B">
        <w:t>Tutkimuspäivänä saa juoda vain vettä.</w:t>
      </w:r>
      <w:r w:rsidRPr="009111C9">
        <w:rPr>
          <w:rFonts w:cs="Arial"/>
        </w:rPr>
        <w:t xml:space="preserve"> </w:t>
      </w:r>
    </w:p>
    <w:p w14:paraId="0DC8AA42" w14:textId="77777777" w:rsidR="009111C9" w:rsidRPr="009111C9" w:rsidRDefault="0090279B" w:rsidP="009111C9">
      <w:pPr>
        <w:numPr>
          <w:ilvl w:val="0"/>
          <w:numId w:val="36"/>
        </w:numPr>
        <w:ind w:left="1276" w:hanging="425"/>
        <w:contextualSpacing/>
      </w:pPr>
      <w:r w:rsidRPr="009111C9">
        <w:rPr>
          <w:rFonts w:cs="Arial"/>
        </w:rPr>
        <w:t xml:space="preserve">Kahvia, teetä, mehua, maitoa, virvoitusjuomia ym. ei saa juoda. </w:t>
      </w:r>
    </w:p>
    <w:p w14:paraId="7E04E55A" w14:textId="3F2BC8F1" w:rsidR="0090279B" w:rsidRPr="009111C9" w:rsidRDefault="0090279B" w:rsidP="009111C9">
      <w:pPr>
        <w:numPr>
          <w:ilvl w:val="0"/>
          <w:numId w:val="36"/>
        </w:numPr>
        <w:ind w:left="1276" w:hanging="425"/>
        <w:contextualSpacing/>
      </w:pPr>
      <w:r w:rsidRPr="009111C9">
        <w:rPr>
          <w:rFonts w:cs="Arial"/>
        </w:rPr>
        <w:t xml:space="preserve">Suuhun ei saa laittaa esim. </w:t>
      </w:r>
      <w:r w:rsidR="008A6F0B" w:rsidRPr="009111C9">
        <w:rPr>
          <w:rFonts w:cs="Arial"/>
        </w:rPr>
        <w:t>pastillia</w:t>
      </w:r>
      <w:r w:rsidRPr="009111C9">
        <w:rPr>
          <w:rFonts w:cs="Arial"/>
        </w:rPr>
        <w:t xml:space="preserve"> tai purukumia. Em. juomat ja tuotteet eivät ole sallittuja edes sokerittomana.</w:t>
      </w:r>
    </w:p>
    <w:p w14:paraId="1CDF9998" w14:textId="77777777" w:rsidR="0090279B" w:rsidRPr="0090279B" w:rsidRDefault="0090279B" w:rsidP="0090279B">
      <w:pPr>
        <w:numPr>
          <w:ilvl w:val="0"/>
          <w:numId w:val="30"/>
        </w:numPr>
        <w:contextualSpacing/>
        <w:jc w:val="both"/>
        <w:rPr>
          <w:rFonts w:cs="Arial"/>
        </w:rPr>
      </w:pPr>
      <w:r w:rsidRPr="0090279B">
        <w:rPr>
          <w:rFonts w:cs="Arial"/>
        </w:rPr>
        <w:t>Lääkkeet voi ottaa normaalisti veden kanssa.</w:t>
      </w:r>
    </w:p>
    <w:p w14:paraId="49142546" w14:textId="77777777" w:rsidR="0090279B" w:rsidRPr="0090279B" w:rsidRDefault="0090279B" w:rsidP="0090279B">
      <w:pPr>
        <w:numPr>
          <w:ilvl w:val="0"/>
          <w:numId w:val="30"/>
        </w:numPr>
      </w:pPr>
      <w:r w:rsidRPr="0090279B">
        <w:rPr>
          <w:color w:val="000000"/>
        </w:rPr>
        <w:t>12 h paaston aikana glukoosipitoisia tai muita ravintoliuoksia ei saa antaa suonensisäisesti, tarvittaessa tiputetaan fysiologista keittosuolaliuosta.</w:t>
      </w:r>
    </w:p>
    <w:p w14:paraId="24E6CC18" w14:textId="3EC9BA55" w:rsidR="0090279B" w:rsidRPr="0090279B" w:rsidRDefault="0090279B" w:rsidP="0090279B">
      <w:pPr>
        <w:numPr>
          <w:ilvl w:val="0"/>
          <w:numId w:val="39"/>
        </w:numPr>
        <w:ind w:left="1276" w:hanging="425"/>
        <w:contextualSpacing/>
        <w:rPr>
          <w:szCs w:val="24"/>
        </w:rPr>
      </w:pPr>
      <w:r w:rsidRPr="0090279B">
        <w:rPr>
          <w:rFonts w:cs="Arial"/>
        </w:rPr>
        <w:t>Raskas liikunta on kielletty 24 tuntia.</w:t>
      </w:r>
    </w:p>
    <w:p w14:paraId="45306A25" w14:textId="29671F18" w:rsidR="0090279B" w:rsidRPr="0090279B" w:rsidRDefault="0090279B" w:rsidP="0090279B">
      <w:pPr>
        <w:numPr>
          <w:ilvl w:val="0"/>
          <w:numId w:val="39"/>
        </w:numPr>
        <w:ind w:left="1276" w:hanging="425"/>
      </w:pPr>
      <w:r w:rsidRPr="0090279B">
        <w:t>Tarvittaessa annetaan diatsepaami 5–10 mg per os. noin tunti ennen radio</w:t>
      </w:r>
      <w:r w:rsidRPr="0090279B">
        <w:softHyphen/>
        <w:t xml:space="preserve">lääkkeen antamista. </w:t>
      </w:r>
    </w:p>
    <w:p w14:paraId="6D64D479" w14:textId="77777777" w:rsidR="0090279B" w:rsidRPr="0090279B" w:rsidRDefault="0090279B" w:rsidP="0090279B">
      <w:pPr>
        <w:ind w:left="851"/>
        <w:rPr>
          <w:rFonts w:cs="Arial"/>
        </w:rPr>
      </w:pPr>
    </w:p>
    <w:p w14:paraId="5038074A" w14:textId="77777777" w:rsidR="0090279B" w:rsidRPr="0090279B" w:rsidRDefault="0090279B" w:rsidP="0090279B">
      <w:pPr>
        <w:ind w:left="851"/>
        <w:rPr>
          <w:szCs w:val="24"/>
        </w:rPr>
      </w:pPr>
      <w:r w:rsidRPr="0090279B">
        <w:rPr>
          <w:rFonts w:cs="Arial"/>
        </w:rPr>
        <w:t>Diabeetikot:</w:t>
      </w:r>
    </w:p>
    <w:p w14:paraId="107C79ED" w14:textId="77777777" w:rsidR="0090279B" w:rsidRPr="0090279B" w:rsidRDefault="0090279B" w:rsidP="0090279B">
      <w:pPr>
        <w:numPr>
          <w:ilvl w:val="0"/>
          <w:numId w:val="31"/>
        </w:numPr>
        <w:ind w:left="1276" w:hanging="425"/>
        <w:rPr>
          <w:szCs w:val="24"/>
        </w:rPr>
      </w:pPr>
      <w:r w:rsidRPr="0090279B">
        <w:rPr>
          <w:rFonts w:cs="Arial"/>
          <w:b/>
        </w:rPr>
        <w:t>Ruokavalio- tai tablettihoitoisen diabetespotilaan</w:t>
      </w:r>
      <w:r w:rsidRPr="0090279B">
        <w:rPr>
          <w:rFonts w:cs="Arial"/>
        </w:rPr>
        <w:t xml:space="preserve"> tulee noudattaa 12 tunnin paastosuositusta.</w:t>
      </w:r>
    </w:p>
    <w:p w14:paraId="125E3CFC" w14:textId="77777777" w:rsidR="0090279B" w:rsidRPr="0090279B" w:rsidRDefault="0090279B" w:rsidP="0090279B">
      <w:pPr>
        <w:numPr>
          <w:ilvl w:val="0"/>
          <w:numId w:val="31"/>
        </w:numPr>
        <w:ind w:left="1276" w:hanging="425"/>
        <w:rPr>
          <w:szCs w:val="24"/>
        </w:rPr>
      </w:pPr>
      <w:r w:rsidRPr="0090279B">
        <w:rPr>
          <w:b/>
        </w:rPr>
        <w:t>Insuliini käyttävien diabeetikkojen</w:t>
      </w:r>
      <w:r w:rsidRPr="0090279B">
        <w:t xml:space="preserve"> osalta 6 tunnin paasto ennen tutkimukseen tuloa on riittävä.</w:t>
      </w:r>
    </w:p>
    <w:p w14:paraId="445658C0" w14:textId="3E6A63AA" w:rsidR="0090279B" w:rsidRPr="0090279B" w:rsidRDefault="0090279B" w:rsidP="0090279B">
      <w:pPr>
        <w:numPr>
          <w:ilvl w:val="0"/>
          <w:numId w:val="37"/>
        </w:numPr>
        <w:contextualSpacing/>
        <w:jc w:val="both"/>
        <w:rPr>
          <w:rFonts w:cs="Arial"/>
        </w:rPr>
      </w:pPr>
      <w:r w:rsidRPr="0090279B">
        <w:rPr>
          <w:color w:val="000000"/>
        </w:rPr>
        <w:t>Potilas syö aamupalan ja pistä</w:t>
      </w:r>
      <w:r w:rsidR="009111C9">
        <w:rPr>
          <w:color w:val="000000"/>
        </w:rPr>
        <w:t>ä</w:t>
      </w:r>
      <w:r w:rsidRPr="0090279B">
        <w:rPr>
          <w:color w:val="000000"/>
        </w:rPr>
        <w:t xml:space="preserve"> tarvitsemansa lyhytvaikutteisen insuliini</w:t>
      </w:r>
      <w:r w:rsidR="009111C9">
        <w:rPr>
          <w:color w:val="000000"/>
        </w:rPr>
        <w:t>n</w:t>
      </w:r>
      <w:r w:rsidRPr="0090279B">
        <w:rPr>
          <w:color w:val="000000"/>
        </w:rPr>
        <w:t xml:space="preserve"> vähintään kuusi tuntia ennen tutkimusta. Tämän jälkeen verensokeria ei saa laskea insuliinilla.</w:t>
      </w:r>
    </w:p>
    <w:p w14:paraId="3F97A959" w14:textId="77777777" w:rsidR="0090279B" w:rsidRPr="0090279B" w:rsidRDefault="0090279B" w:rsidP="0090279B">
      <w:pPr>
        <w:numPr>
          <w:ilvl w:val="0"/>
          <w:numId w:val="37"/>
        </w:numPr>
        <w:contextualSpacing/>
        <w:jc w:val="both"/>
        <w:rPr>
          <w:rFonts w:cs="Arial"/>
        </w:rPr>
      </w:pPr>
      <w:r w:rsidRPr="0090279B">
        <w:rPr>
          <w:color w:val="000000"/>
        </w:rPr>
        <w:t>Pitkävaikutteista insuliinia ei suositella pistettäväksi tutkimuspäivän aamuna.</w:t>
      </w:r>
    </w:p>
    <w:p w14:paraId="38488EE1" w14:textId="77777777" w:rsidR="0090279B" w:rsidRPr="0090279B" w:rsidRDefault="0090279B" w:rsidP="0090279B">
      <w:pPr>
        <w:numPr>
          <w:ilvl w:val="0"/>
          <w:numId w:val="37"/>
        </w:numPr>
        <w:contextualSpacing/>
        <w:jc w:val="both"/>
        <w:rPr>
          <w:rFonts w:cs="Arial"/>
        </w:rPr>
      </w:pPr>
      <w:r w:rsidRPr="0090279B">
        <w:t xml:space="preserve">6 h paaston aikana verensokeria ei saa laskea insuliinilla (aiheuttaa </w:t>
      </w:r>
      <w:r w:rsidRPr="0090279B">
        <w:rPr>
          <w:vertAlign w:val="superscript"/>
        </w:rPr>
        <w:t>18</w:t>
      </w:r>
      <w:r w:rsidRPr="0090279B">
        <w:t>F-FDG:n kertymisen lihassoluihin).</w:t>
      </w:r>
    </w:p>
    <w:p w14:paraId="529E1585" w14:textId="77777777" w:rsidR="0090279B" w:rsidRPr="0090279B" w:rsidRDefault="0090279B" w:rsidP="0090279B">
      <w:pPr>
        <w:numPr>
          <w:ilvl w:val="0"/>
          <w:numId w:val="40"/>
        </w:numPr>
        <w:ind w:left="1276" w:hanging="425"/>
        <w:contextualSpacing/>
        <w:rPr>
          <w:szCs w:val="24"/>
        </w:rPr>
      </w:pPr>
      <w:r w:rsidRPr="0090279B">
        <w:t>Epätasapainossa olevien diabeetikkojen verensokeri tulisi tasapainottaa hyvissä ajoin ennen tutkimuspäivää lähettävän/hoitavan yksikön toimesta.</w:t>
      </w:r>
    </w:p>
    <w:p w14:paraId="15AC699C" w14:textId="20DA3A90" w:rsidR="0090279B" w:rsidRPr="0090279B" w:rsidRDefault="0090279B" w:rsidP="0090279B">
      <w:pPr>
        <w:numPr>
          <w:ilvl w:val="0"/>
          <w:numId w:val="40"/>
        </w:numPr>
        <w:ind w:left="1276" w:hanging="425"/>
        <w:contextualSpacing/>
        <w:rPr>
          <w:szCs w:val="24"/>
        </w:rPr>
      </w:pPr>
      <w:r w:rsidRPr="0090279B">
        <w:t>Kortisonilääkitys nostaa verensokeria etenkin diabeetikoilla. Jos verensokeri on liian korkea, hoitava yksikkö päättää tavan, jolla verensokeri saadaan laskemaan. Tutkimusajankohta voidaan siirtää, kortisonilääkitys keskeyttää riittävän ajoissa tai potilaan verensokeri hoidetaan lääkityksellä alle 10 mmol/l:ksi ennen tutkimuspäivää.</w:t>
      </w:r>
    </w:p>
    <w:p w14:paraId="125C346E" w14:textId="77777777" w:rsidR="0090279B" w:rsidRPr="0090279B" w:rsidRDefault="0090279B" w:rsidP="0090279B">
      <w:pPr>
        <w:numPr>
          <w:ilvl w:val="0"/>
          <w:numId w:val="38"/>
        </w:numPr>
        <w:contextualSpacing/>
      </w:pPr>
      <w:r w:rsidRPr="0090279B">
        <w:rPr>
          <w:b/>
        </w:rPr>
        <w:t>Verensokerin tulee olla tutkimuspäivänä alle 10 mmol/l.</w:t>
      </w:r>
      <w:r w:rsidRPr="0090279B">
        <w:t xml:space="preserve"> Diabeetikkojen verensokeri tarkistetaan ennen lepotilaan siirtymistä ja tarvittaessa koko tutkimuksen ajan, ks. HUOMAUTUKSET</w:t>
      </w:r>
    </w:p>
    <w:p w14:paraId="7654209F" w14:textId="77777777" w:rsidR="0090279B" w:rsidRPr="0090279B" w:rsidRDefault="0090279B" w:rsidP="0090279B">
      <w:pPr>
        <w:numPr>
          <w:ilvl w:val="0"/>
          <w:numId w:val="38"/>
        </w:numPr>
        <w:contextualSpacing/>
      </w:pPr>
      <w:r w:rsidRPr="0090279B">
        <w:t>Jos potilaalla on korkea verensokeri (&gt;10mmol/l), voidaan sitä yrittää laskea, niin että pyydetään potilasta juomaan vettä ja kävelemään verkkaisesti käytävällä. Käy pitkälleen n. puoli tuntia ennen injektiota.</w:t>
      </w:r>
    </w:p>
    <w:p w14:paraId="14746A9A" w14:textId="77777777" w:rsidR="0090279B" w:rsidRPr="0090279B" w:rsidRDefault="0090279B" w:rsidP="0090279B"/>
    <w:p w14:paraId="512A4CB8" w14:textId="77777777" w:rsidR="0090279B" w:rsidRPr="0090279B" w:rsidRDefault="0090279B" w:rsidP="0090279B">
      <w:r w:rsidRPr="0090279B">
        <w:t>RADIOLÄÄKKEEN ANTAMINEN</w:t>
      </w:r>
    </w:p>
    <w:p w14:paraId="5ECE0037" w14:textId="2549BA15" w:rsidR="0090279B" w:rsidRPr="0090279B" w:rsidRDefault="0090279B" w:rsidP="0090279B">
      <w:pPr>
        <w:ind w:left="851"/>
      </w:pPr>
      <w:r w:rsidRPr="0090279B">
        <w:t xml:space="preserve">Radiolääke annetaan laskimonsisäisenä injektiona ensisijaisesti automaattiannostelijalla. </w:t>
      </w:r>
      <w:hyperlink r:id="rId14" w:history="1">
        <w:r w:rsidRPr="0090279B">
          <w:rPr>
            <w:color w:val="0000FF"/>
            <w:u w:val="single"/>
          </w:rPr>
          <w:t>Käsiannostelu</w:t>
        </w:r>
      </w:hyperlink>
      <w:r w:rsidRPr="0090279B">
        <w:t xml:space="preserve"> suoritetaan isotooppiosastolla noin 10 min ennen injektiota ja radiolääke kuljetetaan keskus</w:t>
      </w:r>
      <w:r>
        <w:t>röntgen</w:t>
      </w:r>
      <w:r w:rsidRPr="0090279B">
        <w:t>iin lyijylaukussa.</w:t>
      </w:r>
    </w:p>
    <w:p w14:paraId="1FEB21DD" w14:textId="77777777" w:rsidR="0090279B" w:rsidRPr="0090279B" w:rsidRDefault="0090279B" w:rsidP="0090279B">
      <w:pPr>
        <w:numPr>
          <w:ilvl w:val="0"/>
          <w:numId w:val="32"/>
        </w:numPr>
        <w:ind w:left="1276" w:hanging="425"/>
      </w:pPr>
      <w:r w:rsidRPr="0090279B">
        <w:t>Laskimo kanyloidaan potilaan haastattelun yhteydessä ennen lepohuoneeseen siirtymistä, jotta radiolääke voidaan injisoida heti annostelun jälkeen.</w:t>
      </w:r>
    </w:p>
    <w:p w14:paraId="1A7ED3A2" w14:textId="77777777" w:rsidR="0090279B" w:rsidRPr="0090279B" w:rsidRDefault="0090279B" w:rsidP="0090279B">
      <w:pPr>
        <w:numPr>
          <w:ilvl w:val="0"/>
          <w:numId w:val="21"/>
        </w:numPr>
        <w:tabs>
          <w:tab w:val="num" w:pos="-3261"/>
        </w:tabs>
        <w:ind w:left="1276" w:hanging="425"/>
      </w:pPr>
      <w:r w:rsidRPr="0090279B">
        <w:t>Potilas on levossa erillisessä lepohuoneessa tunnin ennen radiolääkkeen antamista ja tunnin radiolääkkeen antamisen jälkeen kuvauksen alkamis</w:t>
      </w:r>
      <w:r w:rsidRPr="0090279B">
        <w:softHyphen/>
        <w:t>ajankohtaan asti.</w:t>
      </w:r>
    </w:p>
    <w:p w14:paraId="0E89B81C" w14:textId="77777777" w:rsidR="0090279B" w:rsidRPr="00F92EBE" w:rsidRDefault="0090279B" w:rsidP="0090279B">
      <w:pPr>
        <w:numPr>
          <w:ilvl w:val="0"/>
          <w:numId w:val="21"/>
        </w:numPr>
        <w:tabs>
          <w:tab w:val="num" w:pos="-3261"/>
        </w:tabs>
        <w:ind w:left="1276" w:hanging="425"/>
      </w:pPr>
      <w:r w:rsidRPr="0090279B">
        <w:rPr>
          <w:rFonts w:cs="Arial"/>
        </w:rPr>
        <w:t>Levon aikana liikkuminen, lukeminen ja puhelimen käyttö on kielletty.</w:t>
      </w:r>
    </w:p>
    <w:p w14:paraId="18B731A1" w14:textId="77777777" w:rsidR="00F92EBE" w:rsidRPr="0090279B" w:rsidRDefault="00F92EBE" w:rsidP="00F92EBE">
      <w:pPr>
        <w:ind w:left="1276"/>
      </w:pPr>
    </w:p>
    <w:p w14:paraId="5468BDDF" w14:textId="77777777" w:rsidR="0090279B" w:rsidRPr="0090279B" w:rsidRDefault="0090279B" w:rsidP="0090279B">
      <w:pPr>
        <w:numPr>
          <w:ilvl w:val="0"/>
          <w:numId w:val="21"/>
        </w:numPr>
        <w:tabs>
          <w:tab w:val="num" w:pos="-3261"/>
        </w:tabs>
        <w:ind w:left="1276" w:hanging="425"/>
      </w:pPr>
      <w:r w:rsidRPr="0090279B">
        <w:lastRenderedPageBreak/>
        <w:t xml:space="preserve">Vain WC-käynnit ja veden juominen on sallittua.  </w:t>
      </w:r>
    </w:p>
    <w:p w14:paraId="5148FA96" w14:textId="77777777" w:rsidR="0090279B" w:rsidRPr="0090279B" w:rsidRDefault="0090279B" w:rsidP="0090279B">
      <w:pPr>
        <w:ind w:left="851"/>
      </w:pPr>
    </w:p>
    <w:p w14:paraId="77C23FE1" w14:textId="77777777" w:rsidR="0090279B" w:rsidRPr="0090279B" w:rsidRDefault="0090279B" w:rsidP="0090279B">
      <w:r w:rsidRPr="0090279B">
        <w:t>LAITTEET</w:t>
      </w:r>
    </w:p>
    <w:p w14:paraId="72199073" w14:textId="77777777" w:rsidR="0090279B" w:rsidRPr="0090279B" w:rsidRDefault="0090279B" w:rsidP="0090279B">
      <w:pPr>
        <w:ind w:left="851"/>
      </w:pPr>
      <w:r w:rsidRPr="0090279B">
        <w:t>Kuvauslaite Siemens Biograph Vision 600 PET-TT (keskusröntgen)</w:t>
      </w:r>
    </w:p>
    <w:p w14:paraId="59C77367" w14:textId="77777777" w:rsidR="0090279B" w:rsidRDefault="0090279B" w:rsidP="0090279B">
      <w:pPr>
        <w:ind w:left="851"/>
      </w:pPr>
      <w:r w:rsidRPr="0090279B">
        <w:t xml:space="preserve">Verensokerimittari; </w:t>
      </w:r>
      <w:proofErr w:type="spellStart"/>
      <w:r w:rsidRPr="0090279B">
        <w:t>Ascensia</w:t>
      </w:r>
      <w:proofErr w:type="spellEnd"/>
      <w:r w:rsidRPr="0090279B">
        <w:t xml:space="preserve"> </w:t>
      </w:r>
      <w:proofErr w:type="spellStart"/>
      <w:r w:rsidRPr="0090279B">
        <w:t>Contour</w:t>
      </w:r>
      <w:proofErr w:type="spellEnd"/>
      <w:r w:rsidRPr="0090279B">
        <w:t>, Bayer (mittaa B-</w:t>
      </w:r>
      <w:proofErr w:type="spellStart"/>
      <w:r w:rsidRPr="0090279B">
        <w:t>gluk</w:t>
      </w:r>
      <w:proofErr w:type="spellEnd"/>
      <w:r w:rsidRPr="0090279B">
        <w:t>)</w:t>
      </w:r>
    </w:p>
    <w:p w14:paraId="1EA4B9A7" w14:textId="28FBC5EF" w:rsidR="00B8758B" w:rsidRPr="0090279B" w:rsidRDefault="00B8758B" w:rsidP="0090279B">
      <w:pPr>
        <w:ind w:left="851"/>
      </w:pPr>
      <w:r>
        <w:t xml:space="preserve">Ketoainemittari: </w:t>
      </w:r>
      <w:r w:rsidRPr="002224AF">
        <w:rPr>
          <w:sz w:val="24"/>
          <w:szCs w:val="24"/>
        </w:rPr>
        <w:t>CareSens Dual</w:t>
      </w:r>
      <w:r w:rsidR="0014297B">
        <w:rPr>
          <w:sz w:val="24"/>
          <w:szCs w:val="24"/>
        </w:rPr>
        <w:t xml:space="preserve">, </w:t>
      </w:r>
      <w:proofErr w:type="spellStart"/>
      <w:r w:rsidR="0014297B">
        <w:rPr>
          <w:sz w:val="24"/>
          <w:szCs w:val="24"/>
        </w:rPr>
        <w:t>KetoSens</w:t>
      </w:r>
      <w:proofErr w:type="spellEnd"/>
      <w:r w:rsidR="0014297B">
        <w:rPr>
          <w:sz w:val="24"/>
          <w:szCs w:val="24"/>
        </w:rPr>
        <w:t>-liuska</w:t>
      </w:r>
      <w:r>
        <w:rPr>
          <w:sz w:val="24"/>
          <w:szCs w:val="24"/>
        </w:rPr>
        <w:t xml:space="preserve"> (</w:t>
      </w:r>
      <w:r w:rsidR="00F92EBE">
        <w:rPr>
          <w:sz w:val="24"/>
          <w:szCs w:val="24"/>
        </w:rPr>
        <w:t>beta-hydroksibutyraatti-verikoe</w:t>
      </w:r>
      <w:r>
        <w:rPr>
          <w:sz w:val="24"/>
          <w:szCs w:val="24"/>
        </w:rPr>
        <w:t>)</w:t>
      </w:r>
    </w:p>
    <w:p w14:paraId="53A31859" w14:textId="77777777" w:rsidR="0090279B" w:rsidRPr="0090279B" w:rsidRDefault="0090279B" w:rsidP="0090279B">
      <w:pPr>
        <w:ind w:left="851"/>
      </w:pPr>
    </w:p>
    <w:p w14:paraId="32E9F7AF" w14:textId="77777777" w:rsidR="0090279B" w:rsidRPr="0090279B" w:rsidRDefault="0090279B" w:rsidP="0090279B">
      <w:r w:rsidRPr="0090279B">
        <w:t>KUVAUKSEN SUORITUS</w:t>
      </w:r>
    </w:p>
    <w:p w14:paraId="54CFB6E3" w14:textId="4D95480F" w:rsidR="0090279B" w:rsidRPr="0090279B" w:rsidRDefault="0090279B" w:rsidP="0090279B">
      <w:pPr>
        <w:ind w:left="851"/>
      </w:pPr>
      <w:r w:rsidRPr="0090279B">
        <w:t xml:space="preserve">Potilaan asettelu kuvaukseen aloitetaan vajaan tunnin kuluttua </w:t>
      </w:r>
      <w:r w:rsidRPr="0090279B">
        <w:rPr>
          <w:vertAlign w:val="superscript"/>
        </w:rPr>
        <w:t>18</w:t>
      </w:r>
      <w:r w:rsidRPr="0090279B">
        <w:t>F-FDG-in</w:t>
      </w:r>
      <w:r w:rsidRPr="0090279B">
        <w:softHyphen/>
        <w:t xml:space="preserve">jektiosta. Tehdään ensin matala-annos TT, jonka jälkeen suoritetaan </w:t>
      </w:r>
      <w:r w:rsidRPr="0090279B">
        <w:rPr>
          <w:b/>
        </w:rPr>
        <w:t>PET (positroniemissiotomografia) –kuvaus tasan tunnin kuluttua injektiosta</w:t>
      </w:r>
      <w:r w:rsidRPr="0090279B">
        <w:t>. Sydämen kuvaus kestää potilaan asetteluineen noin 15 min.</w:t>
      </w:r>
      <w:r w:rsidR="00F92EBE">
        <w:t xml:space="preserve"> </w:t>
      </w:r>
      <w:r w:rsidR="00F92EBE" w:rsidRPr="00F92EBE">
        <w:rPr>
          <w:b/>
          <w:bCs/>
        </w:rPr>
        <w:t>Kuvausalue on kaulan alaosasta suoliluun harjanteisiin kädet ylhäällä (14.1.2025 alkaen).</w:t>
      </w:r>
    </w:p>
    <w:p w14:paraId="3FA7F2CA" w14:textId="77777777" w:rsidR="0090279B" w:rsidRPr="0090279B" w:rsidRDefault="0090279B" w:rsidP="0090279B">
      <w:pPr>
        <w:numPr>
          <w:ilvl w:val="0"/>
          <w:numId w:val="24"/>
        </w:numPr>
        <w:tabs>
          <w:tab w:val="clear" w:pos="360"/>
        </w:tabs>
        <w:ind w:left="1276" w:hanging="425"/>
      </w:pPr>
      <w:r w:rsidRPr="0090279B">
        <w:t>Potilas tyhjentää virtsarakkonsa.</w:t>
      </w:r>
    </w:p>
    <w:p w14:paraId="2919FE6F" w14:textId="77777777" w:rsidR="0090279B" w:rsidRPr="0090279B" w:rsidRDefault="0090279B" w:rsidP="0090279B">
      <w:pPr>
        <w:numPr>
          <w:ilvl w:val="0"/>
          <w:numId w:val="23"/>
        </w:numPr>
        <w:tabs>
          <w:tab w:val="clear" w:pos="360"/>
        </w:tabs>
        <w:ind w:left="1276" w:hanging="425"/>
      </w:pPr>
      <w:r w:rsidRPr="0090279B">
        <w:t>Metalliesineet poistetaan kuvattavalta alueelta ennen kuvausta.</w:t>
      </w:r>
    </w:p>
    <w:p w14:paraId="6542B400" w14:textId="77777777" w:rsidR="0090279B" w:rsidRPr="0090279B" w:rsidRDefault="0090279B" w:rsidP="0090279B">
      <w:pPr>
        <w:numPr>
          <w:ilvl w:val="0"/>
          <w:numId w:val="22"/>
        </w:numPr>
        <w:ind w:left="1276" w:hanging="425"/>
      </w:pPr>
      <w:r w:rsidRPr="0090279B">
        <w:t>Asettele ja tue potilas hyvin, potilaan on oltava liikkumatta kuvauksen ajan.</w:t>
      </w:r>
    </w:p>
    <w:p w14:paraId="4B004F5F" w14:textId="77777777" w:rsidR="0090279B" w:rsidRPr="0090279B" w:rsidRDefault="0090279B" w:rsidP="0090279B">
      <w:pPr>
        <w:ind w:left="851"/>
      </w:pPr>
    </w:p>
    <w:p w14:paraId="65F1D483" w14:textId="77777777" w:rsidR="0090279B" w:rsidRPr="0090279B" w:rsidRDefault="0090279B" w:rsidP="0090279B">
      <w:pPr>
        <w:ind w:left="851"/>
      </w:pPr>
      <w:r w:rsidRPr="0090279B">
        <w:t>Tutkimus kestää noin 3 tuntia.</w:t>
      </w:r>
    </w:p>
    <w:p w14:paraId="0972A01A" w14:textId="77777777" w:rsidR="0090279B" w:rsidRPr="0090279B" w:rsidRDefault="0090279B" w:rsidP="0090279B">
      <w:pPr>
        <w:ind w:left="851"/>
      </w:pPr>
    </w:p>
    <w:p w14:paraId="0D74B840" w14:textId="77777777" w:rsidR="0090279B" w:rsidRPr="0090279B" w:rsidRDefault="0090279B" w:rsidP="0090279B">
      <w:r w:rsidRPr="0090279B">
        <w:t>TULOS</w:t>
      </w:r>
    </w:p>
    <w:p w14:paraId="51CD2892" w14:textId="77777777" w:rsidR="0090279B" w:rsidRPr="0090279B" w:rsidRDefault="0090279B" w:rsidP="0090279B">
      <w:pPr>
        <w:ind w:left="851"/>
      </w:pPr>
      <w:r w:rsidRPr="0090279B">
        <w:t xml:space="preserve">Fyysikko tulostaa fuusiokuvan PET-TT –tutkimuksesta ja gammakuvauksesta erillisen ohjeen mukaan. Kuvat tallennetaan digitaaliseen arkistoon. </w:t>
      </w:r>
    </w:p>
    <w:p w14:paraId="469A4128" w14:textId="77777777" w:rsidR="0090279B" w:rsidRPr="0090279B" w:rsidRDefault="0090279B" w:rsidP="0090279B">
      <w:pPr>
        <w:ind w:left="851"/>
      </w:pPr>
      <w:r w:rsidRPr="0090279B">
        <w:t>Tutkimuksesta annetaan lausunto.</w:t>
      </w:r>
    </w:p>
    <w:p w14:paraId="26C26663" w14:textId="77777777" w:rsidR="0090279B" w:rsidRPr="0090279B" w:rsidRDefault="0090279B" w:rsidP="0090279B">
      <w:pPr>
        <w:ind w:left="851"/>
      </w:pPr>
    </w:p>
    <w:p w14:paraId="0ADEA90D" w14:textId="77777777" w:rsidR="0090279B" w:rsidRPr="0090279B" w:rsidRDefault="0090279B" w:rsidP="0090279B">
      <w:r w:rsidRPr="0090279B">
        <w:t>HUOMAUTUKSET</w:t>
      </w:r>
    </w:p>
    <w:p w14:paraId="1B081D55" w14:textId="77777777" w:rsidR="0090279B" w:rsidRPr="0090279B" w:rsidRDefault="0090279B" w:rsidP="0090279B">
      <w:pPr>
        <w:numPr>
          <w:ilvl w:val="0"/>
          <w:numId w:val="20"/>
        </w:numPr>
        <w:ind w:left="1276"/>
      </w:pPr>
      <w:r w:rsidRPr="0090279B">
        <w:t>Potilaan pituus, paino ja radiolääkkeen annostiedot kirjataan tarkasti ennen kuvauksen aloitusta, koska ne vaikuttavat potilaan tutkimustuloksiin (SUV-arvo).</w:t>
      </w:r>
    </w:p>
    <w:p w14:paraId="215A15E8" w14:textId="77777777" w:rsidR="0090279B" w:rsidRPr="0090279B" w:rsidRDefault="0090279B" w:rsidP="0090279B">
      <w:pPr>
        <w:numPr>
          <w:ilvl w:val="0"/>
          <w:numId w:val="34"/>
        </w:numPr>
        <w:ind w:left="1276" w:hanging="425"/>
        <w:contextualSpacing/>
        <w:rPr>
          <w:color w:val="FF0000"/>
        </w:rPr>
      </w:pPr>
      <w:r w:rsidRPr="0090279B">
        <w:t xml:space="preserve">Diabeetikkojen verensokerin seuranta: </w:t>
      </w:r>
    </w:p>
    <w:p w14:paraId="18071876" w14:textId="19EE95DF" w:rsidR="0090279B" w:rsidRPr="0090279B" w:rsidRDefault="0090279B" w:rsidP="0090279B">
      <w:pPr>
        <w:numPr>
          <w:ilvl w:val="0"/>
          <w:numId w:val="33"/>
        </w:numPr>
        <w:contextualSpacing/>
      </w:pPr>
      <w:r w:rsidRPr="0090279B">
        <w:t xml:space="preserve">Ravinnotta olon aikana verensokerin tavoitetaso on </w:t>
      </w:r>
      <w:r w:rsidR="00A06C0C" w:rsidRPr="0090279B">
        <w:t>5–10</w:t>
      </w:r>
      <w:r w:rsidRPr="0090279B">
        <w:t xml:space="preserve"> mmol/l. Diabeetikon verensokeria seurataan pikamittauksin sormenpäästä joka toinen tunti, kunnes tutkimus/toimenpide on suoritettu.</w:t>
      </w:r>
    </w:p>
    <w:p w14:paraId="63421CAA" w14:textId="77777777" w:rsidR="0090279B" w:rsidRPr="0090279B" w:rsidRDefault="0090279B" w:rsidP="0090279B">
      <w:pPr>
        <w:numPr>
          <w:ilvl w:val="0"/>
          <w:numId w:val="33"/>
        </w:numPr>
        <w:contextualSpacing/>
      </w:pPr>
      <w:r w:rsidRPr="0090279B">
        <w:t>Jos verensokeri laskee alle 5 mmol/l, seurataan tiheämmin esim. puolen tunnin välein.</w:t>
      </w:r>
    </w:p>
    <w:p w14:paraId="7A528FA1" w14:textId="0BA14325" w:rsidR="0090279B" w:rsidRPr="0090279B" w:rsidRDefault="0090279B" w:rsidP="0090279B">
      <w:pPr>
        <w:numPr>
          <w:ilvl w:val="0"/>
          <w:numId w:val="33"/>
        </w:numPr>
        <w:contextualSpacing/>
      </w:pPr>
      <w:r w:rsidRPr="0090279B">
        <w:t xml:space="preserve">Jos verensokeri laskee alle 4 mmol/l, annetaan 2 rkl hunajaa tai siirappia (8 palaa sokeria veteen liotettuna, 8 Siri-piriä, trip –mehu jne.) mielellään vasta juuri ennen kuvausta, jos potilaan vointi sen sallii. Vaikutus alkaa </w:t>
      </w:r>
      <w:r w:rsidR="00A718D1" w:rsidRPr="0090279B">
        <w:t>10–15</w:t>
      </w:r>
      <w:r w:rsidRPr="0090279B">
        <w:t xml:space="preserve"> min kuluttua.</w:t>
      </w:r>
    </w:p>
    <w:p w14:paraId="4C5D0694" w14:textId="77777777" w:rsidR="0090279B" w:rsidRPr="0090279B" w:rsidRDefault="0090279B" w:rsidP="0090279B">
      <w:pPr>
        <w:numPr>
          <w:ilvl w:val="0"/>
          <w:numId w:val="33"/>
        </w:numPr>
        <w:contextualSpacing/>
      </w:pPr>
      <w:r w:rsidRPr="0090279B">
        <w:t>Hypoglykemian oireet: hikoilu, vapina, päänsärky, nälkä, heikotus, näköhäiriöt, alentunut keskittymiskyky, ärtyneisyys, uneliaisuus, aggressiivisuus, sydämentykytys. Oireiden tunnistaminen Diapamin annon jälkeen hankalaa, jos potilaalla on matala verensokeri.</w:t>
      </w:r>
    </w:p>
    <w:p w14:paraId="27D2359B" w14:textId="50B825CC" w:rsidR="0090279B" w:rsidRPr="0090279B" w:rsidRDefault="0090279B" w:rsidP="0090279B">
      <w:pPr>
        <w:numPr>
          <w:ilvl w:val="0"/>
          <w:numId w:val="33"/>
        </w:numPr>
        <w:contextualSpacing/>
      </w:pPr>
      <w:r w:rsidRPr="0090279B">
        <w:t>Ks. Isotooppipalaveri 29.9.2016: Ohjeita diabeetikon ohjaamiseen 18-F-FDG PET-TT-tutkimuksessa, diab</w:t>
      </w:r>
      <w:r w:rsidR="00A718D1">
        <w:t>etes</w:t>
      </w:r>
      <w:r w:rsidRPr="0090279B">
        <w:t>hoitaja Hanna Jämsä, sis</w:t>
      </w:r>
      <w:r w:rsidR="00A718D1">
        <w:t>.</w:t>
      </w:r>
      <w:r w:rsidRPr="0090279B">
        <w:t xml:space="preserve"> pkl. Jos tilaavasta yksiköstä soitetaan isot. osastolle, ohjataan puhelu sis</w:t>
      </w:r>
      <w:r w:rsidR="00A718D1">
        <w:t>.</w:t>
      </w:r>
      <w:r w:rsidRPr="0090279B">
        <w:t xml:space="preserve"> </w:t>
      </w:r>
      <w:proofErr w:type="spellStart"/>
      <w:r w:rsidRPr="0090279B">
        <w:t>pkl:n</w:t>
      </w:r>
      <w:proofErr w:type="spellEnd"/>
      <w:r w:rsidRPr="0090279B">
        <w:t xml:space="preserve"> diabeteshoitajalle n:o</w:t>
      </w:r>
      <w:r w:rsidRPr="0090279B">
        <w:rPr>
          <w:color w:val="FF0000"/>
        </w:rPr>
        <w:t xml:space="preserve"> </w:t>
      </w:r>
      <w:r w:rsidRPr="0090279B">
        <w:t xml:space="preserve">08 315 </w:t>
      </w:r>
      <w:r w:rsidRPr="0090279B">
        <w:rPr>
          <w:b/>
        </w:rPr>
        <w:t>4265</w:t>
      </w:r>
      <w:r w:rsidRPr="0090279B">
        <w:t xml:space="preserve"> </w:t>
      </w:r>
      <w:r w:rsidR="00A718D1" w:rsidRPr="0090279B">
        <w:t>klo 12–13</w:t>
      </w:r>
      <w:r w:rsidRPr="0090279B">
        <w:t>.</w:t>
      </w:r>
    </w:p>
    <w:p w14:paraId="465F4CFB" w14:textId="77777777" w:rsidR="0090279B" w:rsidRPr="0090279B" w:rsidRDefault="0090279B" w:rsidP="0090279B">
      <w:pPr>
        <w:ind w:left="1664"/>
        <w:contextualSpacing/>
      </w:pPr>
    </w:p>
    <w:p w14:paraId="51191293" w14:textId="77777777" w:rsidR="0090279B" w:rsidRPr="0090279B" w:rsidRDefault="0090279B" w:rsidP="0090279B">
      <w:pPr>
        <w:numPr>
          <w:ilvl w:val="0"/>
          <w:numId w:val="20"/>
        </w:numPr>
        <w:ind w:left="1276"/>
      </w:pPr>
      <w:r w:rsidRPr="0090279B">
        <w:t>Tutkimuspäivänä kuvauksen jälkeen potilas juo taval</w:t>
      </w:r>
      <w:r w:rsidRPr="0090279B">
        <w:softHyphen/>
        <w:t>lista enemmän virtsarakon täyttämiseksi ja tyhjentää rakkonsa usein, jotta sädeannos jäisi mah</w:t>
      </w:r>
      <w:r w:rsidRPr="0090279B">
        <w:softHyphen/>
        <w:t>dollisim</w:t>
      </w:r>
      <w:r w:rsidRPr="0090279B">
        <w:softHyphen/>
        <w:t xml:space="preserve">man pieneksi. WC- hygieniaan on kiinnitettävä huomiota: myös miesten on virtsattava </w:t>
      </w:r>
      <w:r w:rsidRPr="0090279B">
        <w:lastRenderedPageBreak/>
        <w:t>istualtaan, sukupuolielimet kuivataan huolellisesti paperilla, WC-pönttö huuhdellaan välittömästi ja kädet pestään hyvin.</w:t>
      </w:r>
    </w:p>
    <w:p w14:paraId="49EA5FA1" w14:textId="6F1508E7" w:rsidR="0090279B" w:rsidRPr="0090279B" w:rsidRDefault="0090279B" w:rsidP="0090279B">
      <w:pPr>
        <w:numPr>
          <w:ilvl w:val="0"/>
          <w:numId w:val="25"/>
        </w:numPr>
        <w:tabs>
          <w:tab w:val="clear" w:pos="360"/>
        </w:tabs>
        <w:ind w:left="1276" w:hanging="425"/>
        <w:contextualSpacing/>
        <w:rPr>
          <w:color w:val="0000FF"/>
          <w:u w:val="single"/>
        </w:rPr>
      </w:pPr>
      <w:r w:rsidRPr="0090279B">
        <w:t xml:space="preserve">Imetystauko 12 tuntia (valmisteyhteenveto). Tänä aikana lypsetty maito kaadetaan viemäriin, ks. Isotooppitutkimuksiin liittyviä yleisohjeita: </w:t>
      </w:r>
      <w:r w:rsidRPr="0090279B">
        <w:fldChar w:fldCharType="begin"/>
      </w:r>
      <w:r w:rsidR="00A718D1">
        <w:instrText>HYPERLINK "https://intra.oysnet.ppshp.fi/dokumentit/_layouts/15/WopiFrame.aspx?sourcedoc=%7beae31f1e-88d6-46ce-9ab4-7882f83ad453%7d&amp;action=default"</w:instrText>
      </w:r>
      <w:r w:rsidRPr="0090279B">
        <w:fldChar w:fldCharType="separate"/>
      </w:r>
      <w:r w:rsidR="00A718D1">
        <w:rPr>
          <w:color w:val="0000FF"/>
          <w:u w:val="single"/>
        </w:rPr>
        <w:t>Imettävät naiset</w:t>
      </w:r>
      <w:r w:rsidRPr="0090279B">
        <w:rPr>
          <w:color w:val="0000FF"/>
          <w:u w:val="single"/>
        </w:rPr>
        <w:t xml:space="preserve"> </w:t>
      </w:r>
    </w:p>
    <w:p w14:paraId="64AF6980" w14:textId="2F64E0F3" w:rsidR="0090279B" w:rsidRPr="0090279B" w:rsidRDefault="0090279B" w:rsidP="0090279B">
      <w:pPr>
        <w:numPr>
          <w:ilvl w:val="0"/>
          <w:numId w:val="25"/>
        </w:numPr>
        <w:tabs>
          <w:tab w:val="clear" w:pos="360"/>
        </w:tabs>
        <w:ind w:left="1276" w:hanging="425"/>
      </w:pPr>
      <w:r w:rsidRPr="0090279B">
        <w:fldChar w:fldCharType="end"/>
      </w:r>
      <w:r w:rsidRPr="0090279B">
        <w:t>12 tunnin aikana tulisi välttää läheistä kanssakäymistä vauvojen kanssa.</w:t>
      </w:r>
    </w:p>
    <w:p w14:paraId="386F3462" w14:textId="77777777" w:rsidR="0090279B" w:rsidRPr="0090279B" w:rsidRDefault="0090279B" w:rsidP="0090279B">
      <w:pPr>
        <w:numPr>
          <w:ilvl w:val="0"/>
          <w:numId w:val="25"/>
        </w:numPr>
        <w:tabs>
          <w:tab w:val="clear" w:pos="360"/>
          <w:tab w:val="num" w:pos="-3402"/>
        </w:tabs>
        <w:ind w:left="1276" w:hanging="425"/>
      </w:pPr>
      <w:r w:rsidRPr="0090279B">
        <w:rPr>
          <w:rFonts w:cs="Arial"/>
        </w:rPr>
        <w:t>Tutkimuksen peruuntuessa potilaasta tai lähettävästä yksiköstä johtuvista syistä tutkimuspäivänä, tutkimuksesta peritään radiolääkkeen hinta.</w:t>
      </w:r>
    </w:p>
    <w:p w14:paraId="1D396820" w14:textId="567B2FCD" w:rsidR="0090279B" w:rsidRPr="0090279B" w:rsidRDefault="003A1CB4" w:rsidP="0090279B">
      <w:pPr>
        <w:ind w:left="720" w:firstLine="556"/>
        <w:contextualSpacing/>
      </w:pPr>
      <w:hyperlink r:id="rId15" w:history="1">
        <w:r w:rsidR="0090279B" w:rsidRPr="0090279B">
          <w:rPr>
            <w:color w:val="0000FF"/>
            <w:u w:val="single"/>
          </w:rPr>
          <w:t xml:space="preserve">Kts. Peruttu Aineenvaihdunnan </w:t>
        </w:r>
        <w:r w:rsidR="00F92EBE" w:rsidRPr="0090279B">
          <w:rPr>
            <w:color w:val="0000FF"/>
            <w:u w:val="single"/>
          </w:rPr>
          <w:t>PET-TT-kuvaus</w:t>
        </w:r>
        <w:r w:rsidR="0090279B" w:rsidRPr="0090279B">
          <w:rPr>
            <w:color w:val="0000FF"/>
            <w:u w:val="single"/>
          </w:rPr>
          <w:t>, radiolääkkeen lasku (ZXF48)</w:t>
        </w:r>
      </w:hyperlink>
    </w:p>
    <w:sectPr w:rsidR="0090279B" w:rsidRPr="0090279B" w:rsidSect="007E15E5">
      <w:headerReference w:type="default" r:id="rId16"/>
      <w:footerReference w:type="default" r:id="rId17"/>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endnote>
  <w:endnote w:type="continuationSeparator" w:id="0">
    <w:p w14:paraId="60F1DD15" w14:textId="77777777" w:rsidR="009D2375" w:rsidRDefault="009D2375"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7E42E41E" w:rsidR="009D2375" w:rsidRPr="00BD1530" w:rsidRDefault="00B019DB" w:rsidP="009D2375">
    <w:pPr>
      <w:pStyle w:val="Eivli"/>
      <w:rPr>
        <w:b/>
        <w:bCs/>
      </w:rPr>
    </w:pPr>
    <w:r>
      <w:rPr>
        <w:noProof/>
        <w:szCs w:val="24"/>
      </w:rPr>
      <mc:AlternateContent>
        <mc:Choice Requires="wps">
          <w:drawing>
            <wp:anchor distT="0" distB="0" distL="114300" distR="114300" simplePos="0" relativeHeight="251661312" behindDoc="0" locked="0" layoutInCell="1" allowOverlap="1" wp14:anchorId="2536AE27" wp14:editId="62B00C21">
              <wp:simplePos x="0" y="0"/>
              <wp:positionH relativeFrom="column">
                <wp:posOffset>3660840</wp:posOffset>
              </wp:positionH>
              <wp:positionV relativeFrom="paragraph">
                <wp:posOffset>-478828</wp:posOffset>
              </wp:positionV>
              <wp:extent cx="2156347"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2156347" cy="229658"/>
                      </a:xfrm>
                      <a:prstGeom prst="rect">
                        <a:avLst/>
                      </a:prstGeom>
                      <a:solidFill>
                        <a:schemeClr val="lt1"/>
                      </a:solidFill>
                      <a:ln w="6350">
                        <a:noFill/>
                      </a:ln>
                    </wps:spPr>
                    <wps:txbx>
                      <w:txbxContent>
                        <w:p w14:paraId="35C4E00A" w14:textId="5993137B" w:rsidR="00B019DB" w:rsidRDefault="00B019DB">
                          <w:pPr>
                            <w:rPr>
                              <w:sz w:val="18"/>
                              <w:szCs w:val="18"/>
                            </w:rPr>
                          </w:pPr>
                          <w:r w:rsidRPr="00B019DB">
                            <w:rPr>
                              <w:sz w:val="18"/>
                              <w:szCs w:val="18"/>
                            </w:rPr>
                            <w:t xml:space="preserve">Hyväksyjä: </w:t>
                          </w:r>
                          <w:r w:rsidR="0090279B">
                            <w:rPr>
                              <w:sz w:val="18"/>
                              <w:szCs w:val="18"/>
                            </w:rPr>
                            <w:t>Salla-Maarit Kokkonen</w:t>
                          </w:r>
                        </w:p>
                        <w:p w14:paraId="2FE8A247" w14:textId="77777777" w:rsidR="0090279B" w:rsidRPr="00B019DB" w:rsidRDefault="0090279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6AE27" id="_x0000_t202" coordsize="21600,21600" o:spt="202" path="m,l,21600r21600,l21600,xe">
              <v:stroke joinstyle="miter"/>
              <v:path gradientshapeok="t" o:connecttype="rect"/>
            </v:shapetype>
            <v:shape id="Tekstiruutu 4" o:spid="_x0000_s1026" type="#_x0000_t202" style="position:absolute;margin-left:288.25pt;margin-top:-37.7pt;width:169.8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" fillcolor="#fffefe [3201]" stroked="f" strokeweight=".5pt">
              <v:textbox>
                <w:txbxContent>
                  <w:p w14:paraId="35C4E00A" w14:textId="5993137B" w:rsidR="00B019DB" w:rsidRDefault="00B019DB">
                    <w:pPr>
                      <w:rPr>
                        <w:sz w:val="18"/>
                        <w:szCs w:val="18"/>
                      </w:rPr>
                    </w:pPr>
                    <w:r w:rsidRPr="00B019DB">
                      <w:rPr>
                        <w:sz w:val="18"/>
                        <w:szCs w:val="18"/>
                      </w:rPr>
                      <w:t xml:space="preserve">Hyväksyjä: </w:t>
                    </w:r>
                    <w:r w:rsidR="0090279B">
                      <w:rPr>
                        <w:sz w:val="18"/>
                        <w:szCs w:val="18"/>
                      </w:rPr>
                      <w:t>Salla-Maarit Kokkonen</w:t>
                    </w:r>
                  </w:p>
                  <w:p w14:paraId="2FE8A247" w14:textId="77777777" w:rsidR="0090279B" w:rsidRPr="00B019DB" w:rsidRDefault="0090279B">
                    <w:pPr>
                      <w:rPr>
                        <w:sz w:val="18"/>
                        <w:szCs w:val="18"/>
                      </w:rPr>
                    </w:pPr>
                  </w:p>
                </w:txbxContent>
              </v:textbox>
            </v:shape>
          </w:pict>
        </mc:Fallback>
      </mc:AlternateContent>
    </w:r>
    <w:r>
      <w:rPr>
        <w:noProof/>
        <w:szCs w:val="24"/>
      </w:rPr>
      <mc:AlternateContent>
        <mc:Choice Requires="wps">
          <w:drawing>
            <wp:anchor distT="0" distB="0" distL="114300" distR="114300" simplePos="0" relativeHeight="251659264" behindDoc="0" locked="0" layoutInCell="1" allowOverlap="1" wp14:anchorId="07392420" wp14:editId="5E3EC632">
              <wp:simplePos x="0" y="0"/>
              <wp:positionH relativeFrom="column">
                <wp:posOffset>-8890</wp:posOffset>
              </wp:positionH>
              <wp:positionV relativeFrom="paragraph">
                <wp:posOffset>-479425</wp:posOffset>
              </wp:positionV>
              <wp:extent cx="1855470" cy="230293"/>
              <wp:effectExtent l="0" t="0" r="0" b="8890"/>
              <wp:wrapNone/>
              <wp:docPr id="3" name="Tekstiruutu 3"/>
              <wp:cNvGraphicFramePr/>
              <a:graphic xmlns:a="http://schemas.openxmlformats.org/drawingml/2006/main">
                <a:graphicData uri="http://schemas.microsoft.com/office/word/2010/wordprocessingShape">
                  <wps:wsp>
                    <wps:cNvSpPr txBox="1"/>
                    <wps:spPr>
                      <a:xfrm>
                        <a:off x="0" y="0"/>
                        <a:ext cx="1855470" cy="230293"/>
                      </a:xfrm>
                      <a:prstGeom prst="rect">
                        <a:avLst/>
                      </a:prstGeom>
                      <a:solidFill>
                        <a:schemeClr val="lt1"/>
                      </a:solidFill>
                      <a:ln w="6350">
                        <a:noFill/>
                      </a:ln>
                    </wps:spPr>
                    <wps:txbx>
                      <w:txbxContent>
                        <w:p w14:paraId="390078D7" w14:textId="28331E44" w:rsidR="00B019DB" w:rsidRPr="00B019DB" w:rsidRDefault="00B019DB">
                          <w:pPr>
                            <w:rPr>
                              <w:sz w:val="18"/>
                              <w:szCs w:val="18"/>
                            </w:rPr>
                          </w:pPr>
                          <w:r w:rsidRPr="00B019DB">
                            <w:rPr>
                              <w:sz w:val="18"/>
                              <w:szCs w:val="18"/>
                            </w:rPr>
                            <w:t xml:space="preserve">Laatija: </w:t>
                          </w:r>
                          <w:r w:rsidR="0090279B">
                            <w:rPr>
                              <w:sz w:val="18"/>
                              <w:szCs w:val="18"/>
                            </w:rPr>
                            <w:t>Aira Karjalainen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7" type="#_x0000_t202" style="position:absolute;margin-left:-.7pt;margin-top:-37.75pt;width:146.1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" fillcolor="#fffefe [3201]" stroked="f" strokeweight=".5pt">
              <v:textbox>
                <w:txbxContent>
                  <w:p w14:paraId="390078D7" w14:textId="28331E44" w:rsidR="00B019DB" w:rsidRPr="00B019DB" w:rsidRDefault="00B019DB">
                    <w:pPr>
                      <w:rPr>
                        <w:sz w:val="18"/>
                        <w:szCs w:val="18"/>
                      </w:rPr>
                    </w:pPr>
                    <w:r w:rsidRPr="00B019DB">
                      <w:rPr>
                        <w:sz w:val="18"/>
                        <w:szCs w:val="18"/>
                      </w:rPr>
                      <w:t xml:space="preserve">Laatija: </w:t>
                    </w:r>
                    <w:r w:rsidR="0090279B">
                      <w:rPr>
                        <w:sz w:val="18"/>
                        <w:szCs w:val="18"/>
                      </w:rPr>
                      <w:t>Aira Karjalainen</w:t>
                    </w:r>
                  </w:p>
                </w:txbxContent>
              </v:textbox>
            </v:shape>
          </w:pict>
        </mc:Fallback>
      </mc:AlternateContent>
    </w:r>
    <w:r w:rsidR="009D2375">
      <w:rPr>
        <w:szCs w:val="24"/>
      </w:rPr>
      <w:tab/>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Content>
        <w:r w:rsidR="003A1CB4">
          <w:rPr>
            <w:sz w:val="16"/>
            <w:szCs w:val="16"/>
          </w:rPr>
          <w:t>Sydämen aineenvaihdunnan PET-</w:t>
        </w:r>
        <w:proofErr w:type="spellStart"/>
        <w:r w:rsidR="003A1CB4">
          <w:rPr>
            <w:sz w:val="16"/>
            <w:szCs w:val="16"/>
          </w:rPr>
          <w:t>tt</w:t>
        </w:r>
        <w:proofErr w:type="spellEnd"/>
        <w:r w:rsidR="003A1CB4">
          <w:rPr>
            <w:sz w:val="16"/>
            <w:szCs w:val="16"/>
          </w:rPr>
          <w:t xml:space="preserve">, sarkoidoosin arviointi </w:t>
        </w:r>
        <w:proofErr w:type="spellStart"/>
        <w:r w:rsidR="003A1CB4">
          <w:rPr>
            <w:sz w:val="16"/>
            <w:szCs w:val="16"/>
          </w:rPr>
          <w:t>oys</w:t>
        </w:r>
        <w:proofErr w:type="spellEnd"/>
        <w:r w:rsidR="003A1CB4">
          <w:rPr>
            <w:sz w:val="16"/>
            <w:szCs w:val="16"/>
          </w:rPr>
          <w:t xml:space="preserve"> </w:t>
        </w:r>
        <w:proofErr w:type="spellStart"/>
        <w:r w:rsidR="003A1CB4">
          <w:rPr>
            <w:sz w:val="16"/>
            <w:szCs w:val="16"/>
          </w:rPr>
          <w:t>kuv</w:t>
        </w:r>
        <w:proofErr w:type="spellEnd"/>
        <w:r w:rsidR="003A1CB4">
          <w:rPr>
            <w:sz w:val="16"/>
            <w:szCs w:val="16"/>
          </w:rPr>
          <w:t xml:space="preserve"> </w:t>
        </w:r>
        <w:proofErr w:type="spellStart"/>
        <w:r w:rsidR="003A1CB4">
          <w:rPr>
            <w:sz w:val="16"/>
            <w:szCs w:val="16"/>
          </w:rPr>
          <w:t>men</w:t>
        </w:r>
        <w:proofErr w:type="spellEnd"/>
      </w:sdtContent>
    </w:sdt>
    <w:r w:rsidR="009D2375">
      <w:rPr>
        <w:szCs w:val="24"/>
      </w:rPr>
      <w:tab/>
    </w:r>
  </w:p>
  <w:p w14:paraId="7CC21439" w14:textId="431816ED"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footnote>
  <w:footnote w:type="continuationSeparator" w:id="0">
    <w:p w14:paraId="7BDD19BC" w14:textId="77777777" w:rsidR="009D2375" w:rsidRDefault="009D2375"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699B667E" w:rsidR="00BD1530" w:rsidRPr="004E7FC1" w:rsidRDefault="00B019DB" w:rsidP="00BD1530">
          <w:pPr>
            <w:pStyle w:val="Eivli"/>
            <w:rPr>
              <w:b/>
              <w:bCs/>
              <w:sz w:val="20"/>
              <w:szCs w:val="20"/>
            </w:rPr>
          </w:pPr>
          <w:r>
            <w:rPr>
              <w:b/>
              <w:bCs/>
              <w:sz w:val="20"/>
              <w:szCs w:val="20"/>
            </w:rPr>
            <w:t>O</w:t>
          </w:r>
          <w:r w:rsidR="009D2375" w:rsidRPr="004E7FC1">
            <w:rPr>
              <w:b/>
              <w:bCs/>
              <w:sz w:val="20"/>
              <w:szCs w:val="20"/>
            </w:rPr>
            <w:t>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5-01-14T00:00:00Z">
            <w:dateFormat w:val="d.M.yyyy"/>
            <w:lid w:val="fi-FI"/>
            <w:storeMappedDataAs w:val="dateTime"/>
            <w:calendar w:val="gregorian"/>
          </w:date>
        </w:sdtPr>
        <w:sdtEndPr/>
        <w:sdtContent>
          <w:tc>
            <w:tcPr>
              <w:tcW w:w="3402" w:type="dxa"/>
              <w:vAlign w:val="center"/>
            </w:tcPr>
            <w:p w14:paraId="54748B48" w14:textId="456BEDC0" w:rsidR="000631E7" w:rsidRPr="004E7FC1" w:rsidRDefault="00F92EBE" w:rsidP="004B08C1">
              <w:pPr>
                <w:pStyle w:val="Eivli"/>
                <w:rPr>
                  <w:sz w:val="20"/>
                  <w:szCs w:val="20"/>
                </w:rPr>
              </w:pPr>
              <w:r>
                <w:rPr>
                  <w:sz w:val="20"/>
                  <w:szCs w:val="20"/>
                </w:rPr>
                <w:t>14.1.2025</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1A2C11"/>
    <w:multiLevelType w:val="hybridMultilevel"/>
    <w:tmpl w:val="C5FA8C5A"/>
    <w:lvl w:ilvl="0" w:tplc="040B0001">
      <w:start w:val="1"/>
      <w:numFmt w:val="bullet"/>
      <w:lvlText w:val=""/>
      <w:lvlJc w:val="left"/>
      <w:pPr>
        <w:ind w:left="1068" w:hanging="360"/>
      </w:pPr>
      <w:rPr>
        <w:rFonts w:ascii="Symbol" w:hAnsi="Symbol" w:hint="default"/>
        <w:color w:val="auto"/>
      </w:rPr>
    </w:lvl>
    <w:lvl w:ilvl="1" w:tplc="040B0003" w:tentative="1">
      <w:start w:val="1"/>
      <w:numFmt w:val="bullet"/>
      <w:lvlText w:val="o"/>
      <w:lvlJc w:val="left"/>
      <w:pPr>
        <w:ind w:left="1720" w:hanging="360"/>
      </w:pPr>
      <w:rPr>
        <w:rFonts w:ascii="Courier New" w:hAnsi="Courier New" w:cs="Courier New" w:hint="default"/>
      </w:rPr>
    </w:lvl>
    <w:lvl w:ilvl="2" w:tplc="040B0005" w:tentative="1">
      <w:start w:val="1"/>
      <w:numFmt w:val="bullet"/>
      <w:lvlText w:val=""/>
      <w:lvlJc w:val="left"/>
      <w:pPr>
        <w:ind w:left="2440" w:hanging="360"/>
      </w:pPr>
      <w:rPr>
        <w:rFonts w:ascii="Wingdings" w:hAnsi="Wingdings" w:hint="default"/>
      </w:rPr>
    </w:lvl>
    <w:lvl w:ilvl="3" w:tplc="040B0001" w:tentative="1">
      <w:start w:val="1"/>
      <w:numFmt w:val="bullet"/>
      <w:lvlText w:val=""/>
      <w:lvlJc w:val="left"/>
      <w:pPr>
        <w:ind w:left="3160" w:hanging="360"/>
      </w:pPr>
      <w:rPr>
        <w:rFonts w:ascii="Symbol" w:hAnsi="Symbol" w:hint="default"/>
      </w:rPr>
    </w:lvl>
    <w:lvl w:ilvl="4" w:tplc="040B0003" w:tentative="1">
      <w:start w:val="1"/>
      <w:numFmt w:val="bullet"/>
      <w:lvlText w:val="o"/>
      <w:lvlJc w:val="left"/>
      <w:pPr>
        <w:ind w:left="3880" w:hanging="360"/>
      </w:pPr>
      <w:rPr>
        <w:rFonts w:ascii="Courier New" w:hAnsi="Courier New" w:cs="Courier New" w:hint="default"/>
      </w:rPr>
    </w:lvl>
    <w:lvl w:ilvl="5" w:tplc="040B0005" w:tentative="1">
      <w:start w:val="1"/>
      <w:numFmt w:val="bullet"/>
      <w:lvlText w:val=""/>
      <w:lvlJc w:val="left"/>
      <w:pPr>
        <w:ind w:left="4600" w:hanging="360"/>
      </w:pPr>
      <w:rPr>
        <w:rFonts w:ascii="Wingdings" w:hAnsi="Wingdings" w:hint="default"/>
      </w:rPr>
    </w:lvl>
    <w:lvl w:ilvl="6" w:tplc="040B0001" w:tentative="1">
      <w:start w:val="1"/>
      <w:numFmt w:val="bullet"/>
      <w:lvlText w:val=""/>
      <w:lvlJc w:val="left"/>
      <w:pPr>
        <w:ind w:left="5320" w:hanging="360"/>
      </w:pPr>
      <w:rPr>
        <w:rFonts w:ascii="Symbol" w:hAnsi="Symbol" w:hint="default"/>
      </w:rPr>
    </w:lvl>
    <w:lvl w:ilvl="7" w:tplc="040B0003" w:tentative="1">
      <w:start w:val="1"/>
      <w:numFmt w:val="bullet"/>
      <w:lvlText w:val="o"/>
      <w:lvlJc w:val="left"/>
      <w:pPr>
        <w:ind w:left="6040" w:hanging="360"/>
      </w:pPr>
      <w:rPr>
        <w:rFonts w:ascii="Courier New" w:hAnsi="Courier New" w:cs="Courier New" w:hint="default"/>
      </w:rPr>
    </w:lvl>
    <w:lvl w:ilvl="8" w:tplc="040B0005" w:tentative="1">
      <w:start w:val="1"/>
      <w:numFmt w:val="bullet"/>
      <w:lvlText w:val=""/>
      <w:lvlJc w:val="left"/>
      <w:pPr>
        <w:ind w:left="6760" w:hanging="360"/>
      </w:pPr>
      <w:rPr>
        <w:rFonts w:ascii="Wingdings" w:hAnsi="Wingdings" w:hint="default"/>
      </w:rPr>
    </w:lvl>
  </w:abstractNum>
  <w:abstractNum w:abstractNumId="6"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5C6829"/>
    <w:multiLevelType w:val="hybridMultilevel"/>
    <w:tmpl w:val="96642446"/>
    <w:lvl w:ilvl="0" w:tplc="87BE0E70">
      <w:start w:val="1"/>
      <w:numFmt w:val="bullet"/>
      <w:lvlText w:val=""/>
      <w:lvlJc w:val="left"/>
      <w:pPr>
        <w:ind w:left="1571" w:hanging="360"/>
      </w:pPr>
      <w:rPr>
        <w:rFonts w:ascii="Symbol" w:hAnsi="Symbol" w:hint="default"/>
        <w:color w:val="auto"/>
      </w:rPr>
    </w:lvl>
    <w:lvl w:ilvl="1" w:tplc="040B0003" w:tentative="1">
      <w:start w:val="1"/>
      <w:numFmt w:val="bullet"/>
      <w:lvlText w:val="o"/>
      <w:lvlJc w:val="left"/>
      <w:pPr>
        <w:ind w:left="2291" w:hanging="360"/>
      </w:pPr>
      <w:rPr>
        <w:rFonts w:ascii="Courier New" w:hAnsi="Courier New" w:cs="Courier New" w:hint="default"/>
      </w:rPr>
    </w:lvl>
    <w:lvl w:ilvl="2" w:tplc="040B0005" w:tentative="1">
      <w:start w:val="1"/>
      <w:numFmt w:val="bullet"/>
      <w:lvlText w:val=""/>
      <w:lvlJc w:val="left"/>
      <w:pPr>
        <w:ind w:left="3011" w:hanging="360"/>
      </w:pPr>
      <w:rPr>
        <w:rFonts w:ascii="Wingdings" w:hAnsi="Wingdings" w:hint="default"/>
      </w:rPr>
    </w:lvl>
    <w:lvl w:ilvl="3" w:tplc="040B0001" w:tentative="1">
      <w:start w:val="1"/>
      <w:numFmt w:val="bullet"/>
      <w:lvlText w:val=""/>
      <w:lvlJc w:val="left"/>
      <w:pPr>
        <w:ind w:left="3731" w:hanging="360"/>
      </w:pPr>
      <w:rPr>
        <w:rFonts w:ascii="Symbol" w:hAnsi="Symbol" w:hint="default"/>
      </w:rPr>
    </w:lvl>
    <w:lvl w:ilvl="4" w:tplc="040B0003" w:tentative="1">
      <w:start w:val="1"/>
      <w:numFmt w:val="bullet"/>
      <w:lvlText w:val="o"/>
      <w:lvlJc w:val="left"/>
      <w:pPr>
        <w:ind w:left="4451" w:hanging="360"/>
      </w:pPr>
      <w:rPr>
        <w:rFonts w:ascii="Courier New" w:hAnsi="Courier New" w:cs="Courier New" w:hint="default"/>
      </w:rPr>
    </w:lvl>
    <w:lvl w:ilvl="5" w:tplc="040B0005" w:tentative="1">
      <w:start w:val="1"/>
      <w:numFmt w:val="bullet"/>
      <w:lvlText w:val=""/>
      <w:lvlJc w:val="left"/>
      <w:pPr>
        <w:ind w:left="5171" w:hanging="360"/>
      </w:pPr>
      <w:rPr>
        <w:rFonts w:ascii="Wingdings" w:hAnsi="Wingdings" w:hint="default"/>
      </w:rPr>
    </w:lvl>
    <w:lvl w:ilvl="6" w:tplc="040B0001" w:tentative="1">
      <w:start w:val="1"/>
      <w:numFmt w:val="bullet"/>
      <w:lvlText w:val=""/>
      <w:lvlJc w:val="left"/>
      <w:pPr>
        <w:ind w:left="5891" w:hanging="360"/>
      </w:pPr>
      <w:rPr>
        <w:rFonts w:ascii="Symbol" w:hAnsi="Symbol" w:hint="default"/>
      </w:rPr>
    </w:lvl>
    <w:lvl w:ilvl="7" w:tplc="040B0003" w:tentative="1">
      <w:start w:val="1"/>
      <w:numFmt w:val="bullet"/>
      <w:lvlText w:val="o"/>
      <w:lvlJc w:val="left"/>
      <w:pPr>
        <w:ind w:left="6611" w:hanging="360"/>
      </w:pPr>
      <w:rPr>
        <w:rFonts w:ascii="Courier New" w:hAnsi="Courier New" w:cs="Courier New" w:hint="default"/>
      </w:rPr>
    </w:lvl>
    <w:lvl w:ilvl="8" w:tplc="040B0005" w:tentative="1">
      <w:start w:val="1"/>
      <w:numFmt w:val="bullet"/>
      <w:lvlText w:val=""/>
      <w:lvlJc w:val="left"/>
      <w:pPr>
        <w:ind w:left="7331" w:hanging="360"/>
      </w:pPr>
      <w:rPr>
        <w:rFonts w:ascii="Wingdings" w:hAnsi="Wingdings" w:hint="default"/>
      </w:rPr>
    </w:lvl>
  </w:abstractNum>
  <w:abstractNum w:abstractNumId="8" w15:restartNumberingAfterBreak="0">
    <w:nsid w:val="1A6E20D7"/>
    <w:multiLevelType w:val="hybridMultilevel"/>
    <w:tmpl w:val="18ACC0BE"/>
    <w:lvl w:ilvl="0" w:tplc="040B0001">
      <w:start w:val="1"/>
      <w:numFmt w:val="bullet"/>
      <w:lvlText w:val=""/>
      <w:lvlJc w:val="left"/>
      <w:pPr>
        <w:ind w:left="1287" w:hanging="360"/>
      </w:pPr>
      <w:rPr>
        <w:rFonts w:ascii="Symbol" w:hAnsi="Symbol" w:hint="default"/>
      </w:rPr>
    </w:lvl>
    <w:lvl w:ilvl="1" w:tplc="040B0003">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9" w15:restartNumberingAfterBreak="0">
    <w:nsid w:val="1A740BE2"/>
    <w:multiLevelType w:val="hybridMultilevel"/>
    <w:tmpl w:val="D01E8C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517891"/>
    <w:multiLevelType w:val="singleLevel"/>
    <w:tmpl w:val="98E64D0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AAD66CC"/>
    <w:multiLevelType w:val="hybridMultilevel"/>
    <w:tmpl w:val="F60CF624"/>
    <w:lvl w:ilvl="0" w:tplc="040B000B">
      <w:start w:val="1"/>
      <w:numFmt w:val="bullet"/>
      <w:lvlText w:val=""/>
      <w:lvlJc w:val="left"/>
      <w:pPr>
        <w:ind w:left="2024" w:hanging="360"/>
      </w:pPr>
      <w:rPr>
        <w:rFonts w:ascii="Wingdings" w:hAnsi="Wingding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4" w15:restartNumberingAfterBreak="0">
    <w:nsid w:val="334F2761"/>
    <w:multiLevelType w:val="hybridMultilevel"/>
    <w:tmpl w:val="D58258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6" w15:restartNumberingAfterBreak="0">
    <w:nsid w:val="35C04BFC"/>
    <w:multiLevelType w:val="hybridMultilevel"/>
    <w:tmpl w:val="ABD6CDF4"/>
    <w:lvl w:ilvl="0" w:tplc="040B0003">
      <w:start w:val="1"/>
      <w:numFmt w:val="bullet"/>
      <w:lvlText w:val="o"/>
      <w:lvlJc w:val="left"/>
      <w:pPr>
        <w:ind w:left="1636" w:hanging="360"/>
      </w:pPr>
      <w:rPr>
        <w:rFonts w:ascii="Courier New" w:hAnsi="Courier New" w:cs="Courier New"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7"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9F943D3"/>
    <w:multiLevelType w:val="singleLevel"/>
    <w:tmpl w:val="87BE0E70"/>
    <w:lvl w:ilvl="0">
      <w:start w:val="1"/>
      <w:numFmt w:val="bullet"/>
      <w:lvlText w:val=""/>
      <w:lvlJc w:val="left"/>
      <w:pPr>
        <w:ind w:left="360" w:hanging="360"/>
      </w:pPr>
      <w:rPr>
        <w:rFonts w:ascii="Symbol" w:hAnsi="Symbol" w:hint="default"/>
        <w:color w:val="auto"/>
      </w:rPr>
    </w:lvl>
  </w:abstractNum>
  <w:abstractNum w:abstractNumId="20" w15:restartNumberingAfterBreak="0">
    <w:nsid w:val="3B8A561B"/>
    <w:multiLevelType w:val="hybridMultilevel"/>
    <w:tmpl w:val="99EEA6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22"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F3231AF"/>
    <w:multiLevelType w:val="singleLevel"/>
    <w:tmpl w:val="98E64D0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FBF45EF"/>
    <w:multiLevelType w:val="hybridMultilevel"/>
    <w:tmpl w:val="61FC8354"/>
    <w:lvl w:ilvl="0" w:tplc="87BE0E70">
      <w:start w:val="1"/>
      <w:numFmt w:val="bullet"/>
      <w:lvlText w:val=""/>
      <w:lvlJc w:val="left"/>
      <w:pPr>
        <w:ind w:left="1571" w:hanging="360"/>
      </w:pPr>
      <w:rPr>
        <w:rFonts w:ascii="Symbol" w:hAnsi="Symbol" w:hint="default"/>
        <w:color w:val="auto"/>
      </w:rPr>
    </w:lvl>
    <w:lvl w:ilvl="1" w:tplc="040B0003" w:tentative="1">
      <w:start w:val="1"/>
      <w:numFmt w:val="bullet"/>
      <w:lvlText w:val="o"/>
      <w:lvlJc w:val="left"/>
      <w:pPr>
        <w:ind w:left="2291" w:hanging="360"/>
      </w:pPr>
      <w:rPr>
        <w:rFonts w:ascii="Courier New" w:hAnsi="Courier New" w:cs="Courier New" w:hint="default"/>
      </w:rPr>
    </w:lvl>
    <w:lvl w:ilvl="2" w:tplc="040B0005" w:tentative="1">
      <w:start w:val="1"/>
      <w:numFmt w:val="bullet"/>
      <w:lvlText w:val=""/>
      <w:lvlJc w:val="left"/>
      <w:pPr>
        <w:ind w:left="3011" w:hanging="360"/>
      </w:pPr>
      <w:rPr>
        <w:rFonts w:ascii="Wingdings" w:hAnsi="Wingdings" w:hint="default"/>
      </w:rPr>
    </w:lvl>
    <w:lvl w:ilvl="3" w:tplc="040B0001" w:tentative="1">
      <w:start w:val="1"/>
      <w:numFmt w:val="bullet"/>
      <w:lvlText w:val=""/>
      <w:lvlJc w:val="left"/>
      <w:pPr>
        <w:ind w:left="3731" w:hanging="360"/>
      </w:pPr>
      <w:rPr>
        <w:rFonts w:ascii="Symbol" w:hAnsi="Symbol" w:hint="default"/>
      </w:rPr>
    </w:lvl>
    <w:lvl w:ilvl="4" w:tplc="040B0003" w:tentative="1">
      <w:start w:val="1"/>
      <w:numFmt w:val="bullet"/>
      <w:lvlText w:val="o"/>
      <w:lvlJc w:val="left"/>
      <w:pPr>
        <w:ind w:left="4451" w:hanging="360"/>
      </w:pPr>
      <w:rPr>
        <w:rFonts w:ascii="Courier New" w:hAnsi="Courier New" w:cs="Courier New" w:hint="default"/>
      </w:rPr>
    </w:lvl>
    <w:lvl w:ilvl="5" w:tplc="040B0005" w:tentative="1">
      <w:start w:val="1"/>
      <w:numFmt w:val="bullet"/>
      <w:lvlText w:val=""/>
      <w:lvlJc w:val="left"/>
      <w:pPr>
        <w:ind w:left="5171" w:hanging="360"/>
      </w:pPr>
      <w:rPr>
        <w:rFonts w:ascii="Wingdings" w:hAnsi="Wingdings" w:hint="default"/>
      </w:rPr>
    </w:lvl>
    <w:lvl w:ilvl="6" w:tplc="040B0001" w:tentative="1">
      <w:start w:val="1"/>
      <w:numFmt w:val="bullet"/>
      <w:lvlText w:val=""/>
      <w:lvlJc w:val="left"/>
      <w:pPr>
        <w:ind w:left="5891" w:hanging="360"/>
      </w:pPr>
      <w:rPr>
        <w:rFonts w:ascii="Symbol" w:hAnsi="Symbol" w:hint="default"/>
      </w:rPr>
    </w:lvl>
    <w:lvl w:ilvl="7" w:tplc="040B0003" w:tentative="1">
      <w:start w:val="1"/>
      <w:numFmt w:val="bullet"/>
      <w:lvlText w:val="o"/>
      <w:lvlJc w:val="left"/>
      <w:pPr>
        <w:ind w:left="6611" w:hanging="360"/>
      </w:pPr>
      <w:rPr>
        <w:rFonts w:ascii="Courier New" w:hAnsi="Courier New" w:cs="Courier New" w:hint="default"/>
      </w:rPr>
    </w:lvl>
    <w:lvl w:ilvl="8" w:tplc="040B0005" w:tentative="1">
      <w:start w:val="1"/>
      <w:numFmt w:val="bullet"/>
      <w:lvlText w:val=""/>
      <w:lvlJc w:val="left"/>
      <w:pPr>
        <w:ind w:left="7331" w:hanging="360"/>
      </w:pPr>
      <w:rPr>
        <w:rFonts w:ascii="Wingdings" w:hAnsi="Wingdings" w:hint="default"/>
      </w:rPr>
    </w:lvl>
  </w:abstractNum>
  <w:abstractNum w:abstractNumId="25" w15:restartNumberingAfterBreak="0">
    <w:nsid w:val="46252F49"/>
    <w:multiLevelType w:val="singleLevel"/>
    <w:tmpl w:val="98E64D0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7ED0991"/>
    <w:multiLevelType w:val="singleLevel"/>
    <w:tmpl w:val="481CC81C"/>
    <w:lvl w:ilvl="0">
      <w:start w:val="1"/>
      <w:numFmt w:val="bullet"/>
      <w:lvlText w:val=""/>
      <w:lvlJc w:val="left"/>
      <w:pPr>
        <w:tabs>
          <w:tab w:val="num" w:pos="360"/>
        </w:tabs>
        <w:ind w:left="284" w:hanging="284"/>
      </w:pPr>
      <w:rPr>
        <w:rFonts w:ascii="Symbol" w:hAnsi="Symbol" w:hint="default"/>
      </w:rPr>
    </w:lvl>
  </w:abstractNum>
  <w:abstractNum w:abstractNumId="27"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B2393A"/>
    <w:multiLevelType w:val="singleLevel"/>
    <w:tmpl w:val="F502EFD6"/>
    <w:lvl w:ilvl="0">
      <w:start w:val="1"/>
      <w:numFmt w:val="bullet"/>
      <w:lvlText w:val=""/>
      <w:lvlJc w:val="left"/>
      <w:pPr>
        <w:tabs>
          <w:tab w:val="num" w:pos="360"/>
        </w:tabs>
        <w:ind w:left="360" w:hanging="360"/>
      </w:pPr>
      <w:rPr>
        <w:rFonts w:ascii="Symbol" w:hAnsi="Symbol" w:hint="default"/>
        <w:color w:val="auto"/>
      </w:rPr>
    </w:lvl>
  </w:abstractNum>
  <w:abstractNum w:abstractNumId="31" w15:restartNumberingAfterBreak="0">
    <w:nsid w:val="654130AA"/>
    <w:multiLevelType w:val="hybridMultilevel"/>
    <w:tmpl w:val="57247468"/>
    <w:lvl w:ilvl="0" w:tplc="040B0003">
      <w:start w:val="1"/>
      <w:numFmt w:val="bullet"/>
      <w:lvlText w:val="o"/>
      <w:lvlJc w:val="left"/>
      <w:pPr>
        <w:tabs>
          <w:tab w:val="num" w:pos="1664"/>
        </w:tabs>
        <w:ind w:left="1664" w:hanging="360"/>
      </w:pPr>
      <w:rPr>
        <w:rFonts w:ascii="Courier New" w:hAnsi="Courier New" w:cs="Courier New" w:hint="default"/>
      </w:rPr>
    </w:lvl>
    <w:lvl w:ilvl="1" w:tplc="040B000B">
      <w:start w:val="1"/>
      <w:numFmt w:val="bullet"/>
      <w:lvlText w:val=""/>
      <w:lvlJc w:val="left"/>
      <w:pPr>
        <w:tabs>
          <w:tab w:val="num" w:pos="2384"/>
        </w:tabs>
        <w:ind w:left="2384" w:hanging="360"/>
      </w:pPr>
      <w:rPr>
        <w:rFonts w:ascii="Wingdings" w:hAnsi="Wingdings" w:hint="default"/>
      </w:rPr>
    </w:lvl>
    <w:lvl w:ilvl="2" w:tplc="040B0005">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32" w15:restartNumberingAfterBreak="0">
    <w:nsid w:val="68862DC8"/>
    <w:multiLevelType w:val="hybridMultilevel"/>
    <w:tmpl w:val="342CE99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3" w15:restartNumberingAfterBreak="0">
    <w:nsid w:val="7086130D"/>
    <w:multiLevelType w:val="hybridMultilevel"/>
    <w:tmpl w:val="1E98036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35" w15:restartNumberingAfterBreak="0">
    <w:nsid w:val="7636561D"/>
    <w:multiLevelType w:val="hybridMultilevel"/>
    <w:tmpl w:val="BC5A7A7A"/>
    <w:lvl w:ilvl="0" w:tplc="040B0001">
      <w:start w:val="1"/>
      <w:numFmt w:val="bullet"/>
      <w:lvlText w:val=""/>
      <w:lvlJc w:val="left"/>
      <w:pPr>
        <w:ind w:left="1211" w:hanging="360"/>
      </w:pPr>
      <w:rPr>
        <w:rFonts w:ascii="Symbol" w:hAnsi="Symbol" w:hint="default"/>
      </w:rPr>
    </w:lvl>
    <w:lvl w:ilvl="1" w:tplc="040B0003" w:tentative="1">
      <w:start w:val="1"/>
      <w:numFmt w:val="bullet"/>
      <w:lvlText w:val="o"/>
      <w:lvlJc w:val="left"/>
      <w:pPr>
        <w:ind w:left="1931" w:hanging="360"/>
      </w:pPr>
      <w:rPr>
        <w:rFonts w:ascii="Courier New" w:hAnsi="Courier New" w:cs="Courier New" w:hint="default"/>
      </w:rPr>
    </w:lvl>
    <w:lvl w:ilvl="2" w:tplc="040B0005" w:tentative="1">
      <w:start w:val="1"/>
      <w:numFmt w:val="bullet"/>
      <w:lvlText w:val=""/>
      <w:lvlJc w:val="left"/>
      <w:pPr>
        <w:ind w:left="2651" w:hanging="360"/>
      </w:pPr>
      <w:rPr>
        <w:rFonts w:ascii="Wingdings" w:hAnsi="Wingdings" w:hint="default"/>
      </w:rPr>
    </w:lvl>
    <w:lvl w:ilvl="3" w:tplc="040B0001" w:tentative="1">
      <w:start w:val="1"/>
      <w:numFmt w:val="bullet"/>
      <w:lvlText w:val=""/>
      <w:lvlJc w:val="left"/>
      <w:pPr>
        <w:ind w:left="3371" w:hanging="360"/>
      </w:pPr>
      <w:rPr>
        <w:rFonts w:ascii="Symbol" w:hAnsi="Symbol" w:hint="default"/>
      </w:rPr>
    </w:lvl>
    <w:lvl w:ilvl="4" w:tplc="040B0003" w:tentative="1">
      <w:start w:val="1"/>
      <w:numFmt w:val="bullet"/>
      <w:lvlText w:val="o"/>
      <w:lvlJc w:val="left"/>
      <w:pPr>
        <w:ind w:left="4091" w:hanging="360"/>
      </w:pPr>
      <w:rPr>
        <w:rFonts w:ascii="Courier New" w:hAnsi="Courier New" w:cs="Courier New" w:hint="default"/>
      </w:rPr>
    </w:lvl>
    <w:lvl w:ilvl="5" w:tplc="040B0005" w:tentative="1">
      <w:start w:val="1"/>
      <w:numFmt w:val="bullet"/>
      <w:lvlText w:val=""/>
      <w:lvlJc w:val="left"/>
      <w:pPr>
        <w:ind w:left="4811" w:hanging="360"/>
      </w:pPr>
      <w:rPr>
        <w:rFonts w:ascii="Wingdings" w:hAnsi="Wingdings" w:hint="default"/>
      </w:rPr>
    </w:lvl>
    <w:lvl w:ilvl="6" w:tplc="040B0001" w:tentative="1">
      <w:start w:val="1"/>
      <w:numFmt w:val="bullet"/>
      <w:lvlText w:val=""/>
      <w:lvlJc w:val="left"/>
      <w:pPr>
        <w:ind w:left="5531" w:hanging="360"/>
      </w:pPr>
      <w:rPr>
        <w:rFonts w:ascii="Symbol" w:hAnsi="Symbol" w:hint="default"/>
      </w:rPr>
    </w:lvl>
    <w:lvl w:ilvl="7" w:tplc="040B0003" w:tentative="1">
      <w:start w:val="1"/>
      <w:numFmt w:val="bullet"/>
      <w:lvlText w:val="o"/>
      <w:lvlJc w:val="left"/>
      <w:pPr>
        <w:ind w:left="6251" w:hanging="360"/>
      </w:pPr>
      <w:rPr>
        <w:rFonts w:ascii="Courier New" w:hAnsi="Courier New" w:cs="Courier New" w:hint="default"/>
      </w:rPr>
    </w:lvl>
    <w:lvl w:ilvl="8" w:tplc="040B0005" w:tentative="1">
      <w:start w:val="1"/>
      <w:numFmt w:val="bullet"/>
      <w:lvlText w:val=""/>
      <w:lvlJc w:val="left"/>
      <w:pPr>
        <w:ind w:left="6971" w:hanging="360"/>
      </w:pPr>
      <w:rPr>
        <w:rFonts w:ascii="Wingdings" w:hAnsi="Wingdings" w:hint="default"/>
      </w:rPr>
    </w:lvl>
  </w:abstractNum>
  <w:abstractNum w:abstractNumId="36" w15:restartNumberingAfterBreak="0">
    <w:nsid w:val="7A9F6DE6"/>
    <w:multiLevelType w:val="hybridMultilevel"/>
    <w:tmpl w:val="D7043B1E"/>
    <w:lvl w:ilvl="0" w:tplc="87BE0E70">
      <w:start w:val="1"/>
      <w:numFmt w:val="bullet"/>
      <w:lvlText w:val=""/>
      <w:lvlJc w:val="left"/>
      <w:pPr>
        <w:ind w:left="360" w:hanging="360"/>
      </w:pPr>
      <w:rPr>
        <w:rFonts w:ascii="Symbol" w:hAnsi="Symbol"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7" w15:restartNumberingAfterBreak="0">
    <w:nsid w:val="7BD4442C"/>
    <w:multiLevelType w:val="hybridMultilevel"/>
    <w:tmpl w:val="1AEAD4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1173684800">
    <w:abstractNumId w:val="2"/>
  </w:num>
  <w:num w:numId="2" w16cid:durableId="28115240">
    <w:abstractNumId w:val="21"/>
  </w:num>
  <w:num w:numId="3" w16cid:durableId="1214081591">
    <w:abstractNumId w:val="1"/>
  </w:num>
  <w:num w:numId="4" w16cid:durableId="334958258">
    <w:abstractNumId w:val="34"/>
  </w:num>
  <w:num w:numId="5" w16cid:durableId="1641032995">
    <w:abstractNumId w:val="0"/>
  </w:num>
  <w:num w:numId="6" w16cid:durableId="2063944667">
    <w:abstractNumId w:val="15"/>
  </w:num>
  <w:num w:numId="7" w16cid:durableId="1862237714">
    <w:abstractNumId w:val="27"/>
  </w:num>
  <w:num w:numId="8" w16cid:durableId="1754813634">
    <w:abstractNumId w:val="27"/>
  </w:num>
  <w:num w:numId="9" w16cid:durableId="1606114846">
    <w:abstractNumId w:val="27"/>
  </w:num>
  <w:num w:numId="10" w16cid:durableId="1477645058">
    <w:abstractNumId w:val="4"/>
  </w:num>
  <w:num w:numId="11" w16cid:durableId="841121598">
    <w:abstractNumId w:val="29"/>
  </w:num>
  <w:num w:numId="12" w16cid:durableId="225991095">
    <w:abstractNumId w:val="17"/>
  </w:num>
  <w:num w:numId="13" w16cid:durableId="70978191">
    <w:abstractNumId w:val="10"/>
  </w:num>
  <w:num w:numId="14" w16cid:durableId="240528770">
    <w:abstractNumId w:val="22"/>
  </w:num>
  <w:num w:numId="15" w16cid:durableId="452208856">
    <w:abstractNumId w:val="28"/>
  </w:num>
  <w:num w:numId="16" w16cid:durableId="1796949018">
    <w:abstractNumId w:val="12"/>
  </w:num>
  <w:num w:numId="17" w16cid:durableId="627246728">
    <w:abstractNumId w:val="6"/>
  </w:num>
  <w:num w:numId="18" w16cid:durableId="1203321292">
    <w:abstractNumId w:val="18"/>
  </w:num>
  <w:num w:numId="19" w16cid:durableId="1228960364">
    <w:abstractNumId w:val="3"/>
  </w:num>
  <w:num w:numId="20" w16cid:durableId="1712144288">
    <w:abstractNumId w:val="19"/>
  </w:num>
  <w:num w:numId="21" w16cid:durableId="476920631">
    <w:abstractNumId w:val="26"/>
  </w:num>
  <w:num w:numId="22" w16cid:durableId="1611355536">
    <w:abstractNumId w:val="25"/>
  </w:num>
  <w:num w:numId="23" w16cid:durableId="874199500">
    <w:abstractNumId w:val="23"/>
  </w:num>
  <w:num w:numId="24" w16cid:durableId="2141612585">
    <w:abstractNumId w:val="11"/>
  </w:num>
  <w:num w:numId="25" w16cid:durableId="2096510466">
    <w:abstractNumId w:val="30"/>
  </w:num>
  <w:num w:numId="26" w16cid:durableId="447353309">
    <w:abstractNumId w:val="9"/>
  </w:num>
  <w:num w:numId="27" w16cid:durableId="1857498923">
    <w:abstractNumId w:val="14"/>
  </w:num>
  <w:num w:numId="28" w16cid:durableId="1091007769">
    <w:abstractNumId w:val="20"/>
  </w:num>
  <w:num w:numId="29" w16cid:durableId="447480162">
    <w:abstractNumId w:val="8"/>
  </w:num>
  <w:num w:numId="30" w16cid:durableId="1154684345">
    <w:abstractNumId w:val="16"/>
  </w:num>
  <w:num w:numId="31" w16cid:durableId="112138184">
    <w:abstractNumId w:val="36"/>
  </w:num>
  <w:num w:numId="32" w16cid:durableId="350762907">
    <w:abstractNumId w:val="7"/>
  </w:num>
  <w:num w:numId="33" w16cid:durableId="1954705851">
    <w:abstractNumId w:val="31"/>
  </w:num>
  <w:num w:numId="34" w16cid:durableId="1580557741">
    <w:abstractNumId w:val="5"/>
  </w:num>
  <w:num w:numId="35" w16cid:durableId="1527133975">
    <w:abstractNumId w:val="33"/>
  </w:num>
  <w:num w:numId="36" w16cid:durableId="587925967">
    <w:abstractNumId w:val="24"/>
  </w:num>
  <w:num w:numId="37" w16cid:durableId="1780177530">
    <w:abstractNumId w:val="13"/>
  </w:num>
  <w:num w:numId="38" w16cid:durableId="1383866688">
    <w:abstractNumId w:val="35"/>
  </w:num>
  <w:num w:numId="39" w16cid:durableId="1456168722">
    <w:abstractNumId w:val="32"/>
  </w:num>
  <w:num w:numId="40" w16cid:durableId="183024878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1075B7"/>
    <w:rsid w:val="0010766A"/>
    <w:rsid w:val="00122EED"/>
    <w:rsid w:val="0014297B"/>
    <w:rsid w:val="001553A0"/>
    <w:rsid w:val="0016272C"/>
    <w:rsid w:val="001C479F"/>
    <w:rsid w:val="00200C8E"/>
    <w:rsid w:val="00215B7A"/>
    <w:rsid w:val="00221E0D"/>
    <w:rsid w:val="00221EB2"/>
    <w:rsid w:val="00241D58"/>
    <w:rsid w:val="00257775"/>
    <w:rsid w:val="00274207"/>
    <w:rsid w:val="002A2211"/>
    <w:rsid w:val="002A2F97"/>
    <w:rsid w:val="002B415F"/>
    <w:rsid w:val="002C396A"/>
    <w:rsid w:val="002D47B0"/>
    <w:rsid w:val="002E0C11"/>
    <w:rsid w:val="002E5369"/>
    <w:rsid w:val="002F25A6"/>
    <w:rsid w:val="002F4C13"/>
    <w:rsid w:val="00311153"/>
    <w:rsid w:val="0031457A"/>
    <w:rsid w:val="00317FC2"/>
    <w:rsid w:val="00323555"/>
    <w:rsid w:val="00323E0A"/>
    <w:rsid w:val="00326C96"/>
    <w:rsid w:val="00353D37"/>
    <w:rsid w:val="00361B61"/>
    <w:rsid w:val="003635C2"/>
    <w:rsid w:val="00376A53"/>
    <w:rsid w:val="00391EBA"/>
    <w:rsid w:val="003A1CB4"/>
    <w:rsid w:val="003A53E3"/>
    <w:rsid w:val="003A6B39"/>
    <w:rsid w:val="003C126B"/>
    <w:rsid w:val="003C173B"/>
    <w:rsid w:val="003D0B83"/>
    <w:rsid w:val="003D700D"/>
    <w:rsid w:val="003E527B"/>
    <w:rsid w:val="00420227"/>
    <w:rsid w:val="00421679"/>
    <w:rsid w:val="00443B00"/>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26E5E"/>
    <w:rsid w:val="00645FEE"/>
    <w:rsid w:val="00665636"/>
    <w:rsid w:val="00673E18"/>
    <w:rsid w:val="00684254"/>
    <w:rsid w:val="006A1E8C"/>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5985"/>
    <w:rsid w:val="00823D5B"/>
    <w:rsid w:val="00824166"/>
    <w:rsid w:val="00844222"/>
    <w:rsid w:val="00857BC5"/>
    <w:rsid w:val="00863250"/>
    <w:rsid w:val="00864AC8"/>
    <w:rsid w:val="008661A7"/>
    <w:rsid w:val="00867979"/>
    <w:rsid w:val="00872BF3"/>
    <w:rsid w:val="00885F39"/>
    <w:rsid w:val="00895742"/>
    <w:rsid w:val="008A19EA"/>
    <w:rsid w:val="008A59FA"/>
    <w:rsid w:val="008A6F0B"/>
    <w:rsid w:val="008B51DB"/>
    <w:rsid w:val="0090279B"/>
    <w:rsid w:val="009111C9"/>
    <w:rsid w:val="00931791"/>
    <w:rsid w:val="00954D4E"/>
    <w:rsid w:val="0096672C"/>
    <w:rsid w:val="00981135"/>
    <w:rsid w:val="00994CA0"/>
    <w:rsid w:val="009C5F4A"/>
    <w:rsid w:val="009D2375"/>
    <w:rsid w:val="009D655E"/>
    <w:rsid w:val="009F638F"/>
    <w:rsid w:val="00A06C0C"/>
    <w:rsid w:val="00A21728"/>
    <w:rsid w:val="00A232F5"/>
    <w:rsid w:val="00A4584E"/>
    <w:rsid w:val="00A51BFE"/>
    <w:rsid w:val="00A62472"/>
    <w:rsid w:val="00A718D1"/>
    <w:rsid w:val="00A76BB7"/>
    <w:rsid w:val="00AA2438"/>
    <w:rsid w:val="00AA4C99"/>
    <w:rsid w:val="00B006AC"/>
    <w:rsid w:val="00B019DB"/>
    <w:rsid w:val="00B57EDD"/>
    <w:rsid w:val="00B8758B"/>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14FAA"/>
    <w:rsid w:val="00D21300"/>
    <w:rsid w:val="00D42DB3"/>
    <w:rsid w:val="00D45D47"/>
    <w:rsid w:val="00D725DD"/>
    <w:rsid w:val="00D9023B"/>
    <w:rsid w:val="00DA4D60"/>
    <w:rsid w:val="00DB41B2"/>
    <w:rsid w:val="00DE2F16"/>
    <w:rsid w:val="00DE4771"/>
    <w:rsid w:val="00DF19CC"/>
    <w:rsid w:val="00E04FF8"/>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53A45"/>
    <w:rsid w:val="00F828F0"/>
    <w:rsid w:val="00F9094E"/>
    <w:rsid w:val="00F92EBE"/>
    <w:rsid w:val="00FA1549"/>
    <w:rsid w:val="00FB6D17"/>
    <w:rsid w:val="00FD3FAF"/>
    <w:rsid w:val="00FF7C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 w:type="paragraph" w:styleId="Sisennettyleipteksti3">
    <w:name w:val="Body Text Indent 3"/>
    <w:basedOn w:val="Normaali"/>
    <w:link w:val="Sisennettyleipteksti3Char"/>
    <w:uiPriority w:val="99"/>
    <w:semiHidden/>
    <w:unhideWhenUsed/>
    <w:rsid w:val="0090279B"/>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90279B"/>
    <w:rPr>
      <w:rFonts w:ascii="Trebuchet MS" w:eastAsia="Times New Roman" w:hAnsi="Trebuchet MS" w:cs="Times New Roman"/>
      <w:sz w:val="16"/>
      <w:szCs w:val="16"/>
      <w:lang w:eastAsia="fi-FI"/>
    </w:rPr>
  </w:style>
  <w:style w:type="paragraph" w:styleId="Sisennettyleipteksti2">
    <w:name w:val="Body Text Indent 2"/>
    <w:basedOn w:val="Normaali"/>
    <w:link w:val="Sisennettyleipteksti2Char"/>
    <w:uiPriority w:val="99"/>
    <w:semiHidden/>
    <w:unhideWhenUsed/>
    <w:rsid w:val="0090279B"/>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90279B"/>
    <w:rPr>
      <w:rFonts w:ascii="Trebuchet MS" w:eastAsia="Times New Roman" w:hAnsi="Trebuchet MS" w:cs="Times New Roman"/>
      <w:lang w:eastAsia="fi-FI"/>
    </w:rPr>
  </w:style>
  <w:style w:type="paragraph" w:styleId="Sisennettyleipteksti">
    <w:name w:val="Body Text Indent"/>
    <w:basedOn w:val="Normaali"/>
    <w:link w:val="SisennettyleiptekstiChar"/>
    <w:uiPriority w:val="99"/>
    <w:semiHidden/>
    <w:unhideWhenUsed/>
    <w:rsid w:val="0090279B"/>
    <w:pPr>
      <w:spacing w:after="120"/>
      <w:ind w:left="283"/>
    </w:pPr>
  </w:style>
  <w:style w:type="character" w:customStyle="1" w:styleId="SisennettyleiptekstiChar">
    <w:name w:val="Sisennetty leipäteksti Char"/>
    <w:basedOn w:val="Kappaleenoletusfontti"/>
    <w:link w:val="Sisennettyleipteksti"/>
    <w:uiPriority w:val="99"/>
    <w:semiHidden/>
    <w:rsid w:val="0090279B"/>
    <w:rPr>
      <w:rFonts w:ascii="Trebuchet MS" w:eastAsia="Times New Roman" w:hAnsi="Trebuchet MS" w:cs="Times New Roman"/>
      <w:lang w:eastAsia="fi-FI"/>
    </w:rPr>
  </w:style>
  <w:style w:type="character" w:styleId="AvattuHyperlinkki">
    <w:name w:val="FollowedHyperlink"/>
    <w:basedOn w:val="Kappaleenoletusfontti"/>
    <w:uiPriority w:val="99"/>
    <w:semiHidden/>
    <w:unhideWhenUsed/>
    <w:rsid w:val="00A718D1"/>
    <w:rPr>
      <w:color w:val="9E4C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_layouts/15/WopiFrame.aspx?sourcedoc=%7b340e9a5d-fc61-4d31-8b93-8e4d30532a2f%7d&amp;action=default\\yhtdata\tulosyksikot\50_Sairaanhoidolliset_palvelut\501_Diagnostiikan_vastuualue\5010_Kuvantamisen%20toimialue\Z3377\Ty&#246;ohjeet,%20k&#228;yt&#246;ss&#228;\Syd&#228;nlihaksen%20perfuusion%20SPET%20ja%20matala-annos%20TT%20levossa%20oys%20kuv%20men.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yhtdata/tulosyksikot/50_Sairaanhoidolliset_palvelut/501_Diagnostiikan_vastuualue/5010_Kuvantamisen%20toimialue/Z3377/PET-TT/A%20PET-TT_Tutkimusnimikkeist&#246;%20ja%20peruutus.doc"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yhtdata/tulosyksikot/50_Sairaanhoidolliset_palvelut/501_Diagnostiikan_vastuualue/5010_Kuvantamisen%20toimialue/Z3377/RADIOL&#196;&#196;KKEIDEN%20VALMISTUS/F-18-FDG%20(Steripet)%20-injektioneste%20annosteluohj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978</Value>
      <Value>1168</Value>
      <Value>980</Value>
      <Value>1313</Value>
      <Value>43</Value>
      <Value>42</Value>
      <Value>650</Value>
      <Value>530</Value>
      <Value>528</Value>
      <Value>1</Value>
      <Value>886</Value>
    </TaxCatchAll>
    <Language xmlns="http://schemas.microsoft.com/sharepoint/v3">Finnish (Finland)</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Vartalo</TermName>
          <TermId xmlns="http://schemas.microsoft.com/office/infopath/2007/PartnerControls">3b19d0f0-710a-4133-b766-da4d9ae00ed9</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i:0#.w|oysnet\manninal</DisplayName>
        <AccountId>370</AccountId>
        <AccountType/>
      </UserInfo>
      <UserInfo>
        <DisplayName>i:0#.w|oysnet\karjalab</DisplayName>
        <AccountId>363</AccountId>
        <AccountType/>
      </UserInfo>
      <UserInfo>
        <DisplayName>i:0#.w|oysnet\vaananmi</DisplayName>
        <AccountId>1512</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kliininen fysiologia ja isotooppilääketiede (PPSHP)</TermName>
          <TermId xmlns="http://schemas.microsoft.com/office/infopath/2007/PartnerControls">10be52ec-d72f-4414-83a0-e978b3b2251e</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FM1JR Sydämen aineenvaihdunnan laaja PET-tietokonetomografiatutkimus</TermName>
          <TermId xmlns="http://schemas.microsoft.com/office/infopath/2007/PartnerControls">dce4e3a8-019a-451d-8d2f-6d4337d45bf2</TermId>
        </TermInfo>
      </Terms>
    </pa7e7d0fcfad4aa78a62dd1f52bdaa2b>
    <Kuvantamisen_x0020_turvallisuusohje xmlns="0af04246-5dcb-4e38-b8a1-4adaeb368127">false</Kuvantamisen_x0020_turvallisuusohje>
    <Dokumjentin_x0020_hyväksyjä xmlns="0af04246-5dcb-4e38-b8a1-4adaeb368127">
      <UserInfo>
        <DisplayName>i:0#.w|oysnet\kokkonsm</DisplayName>
        <AccountId>366</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Aikuinen</TermName>
          <TermId xmlns="http://schemas.microsoft.com/office/infopath/2007/PartnerControls">cf8c4afd-4c54-4b39-817d-454341937ee5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F-röntgen</TermName>
          <TermId xmlns="http://schemas.microsoft.com/office/infopath/2007/PartnerControls">7a8b252b-5427-4881-bb54-12bb230821fb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Menetelmäohje</TermName>
          <TermId xmlns="http://schemas.microsoft.com/office/infopath/2007/PartnerControls">8d7551ed-f25f-4658-af35-e281bf9731e8</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Projektio-/ tutkimusohjeet</TermName>
          <TermId xmlns="http://schemas.microsoft.com/office/infopath/2007/PartnerControls">00f9cfd7-e55b-40e2-b514-2b376e6bcb08</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Isotooppi</TermName>
          <TermId xmlns="http://schemas.microsoft.com/office/infopath/2007/PartnerControls">34089549-f79f-4d4d-844a-676cbbb5d2e1</TermId>
        </TermInfo>
      </Terms>
    </bed6187e51e544269109ff5c30eb1037>
    <dcbfe2a265e14726b4e3bf442009874f xmlns="d3e50268-7799-48af-83c3-9a9b063078bc">
      <Terms xmlns="http://schemas.microsoft.com/office/infopath/2007/PartnerControls"/>
    </dcbfe2a265e14726b4e3bf442009874f>
    <_dlc_DocId xmlns="d3e50268-7799-48af-83c3-9a9b063078bc">PPSHP-1249379545-3999</_dlc_DocId>
    <_dlc_DocIdPersistId xmlns="d3e50268-7799-48af-83c3-9a9b063078bc">false</_dlc_DocIdPersistId>
    <_dlc_DocIdUrl xmlns="d3e50268-7799-48af-83c3-9a9b063078bc">
      <Url>https://julkaisu.oysnet.ppshp.fi/_layouts/15/DocIdRedir.aspx?ID=PPSHP-1249379545-3999</Url>
      <Description>PPSHP-1249379545-3999</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fe7d6957-b623-48c5-941b-77be73948d87" ContentTypeId="0x010100E993358E494F344F8D6048E76D09AF021A" PreviousValue="false"/>
</file>

<file path=customXml/item6.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9E035773-6CF2-4493-997C-3AB37A3BD2F0}">
  <ds:schemaRefs>
    <ds:schemaRef ds:uri="http://schemas.microsoft.com/sharepoint/v3"/>
    <ds:schemaRef ds:uri="d3e50268-7799-48af-83c3-9a9b063078b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f04246-5dcb-4e38-b8a1-4adaeb368127"/>
    <ds:schemaRef ds:uri="http://www.w3.org/XML/1998/namespace"/>
    <ds:schemaRef ds:uri="http://purl.org/dc/dcmitype/"/>
  </ds:schemaRefs>
</ds:datastoreItem>
</file>

<file path=customXml/itemProps3.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4.xml><?xml version="1.0" encoding="utf-8"?>
<ds:datastoreItem xmlns:ds="http://schemas.openxmlformats.org/officeDocument/2006/customXml" ds:itemID="{C8B8E4F2-59EC-4248-A07C-6631718693DB}">
  <ds:schemaRefs>
    <ds:schemaRef ds:uri="http://schemas.microsoft.com/sharepoint/events"/>
  </ds:schemaRefs>
</ds:datastoreItem>
</file>

<file path=customXml/itemProps5.xml><?xml version="1.0" encoding="utf-8"?>
<ds:datastoreItem xmlns:ds="http://schemas.openxmlformats.org/officeDocument/2006/customXml" ds:itemID="{168D0E80-8388-424A-B12E-BFB49D88BAD8}">
  <ds:schemaRefs>
    <ds:schemaRef ds:uri="Microsoft.SharePoint.Taxonomy.ContentTypeSync"/>
  </ds:schemaRefs>
</ds:datastoreItem>
</file>

<file path=customXml/itemProps6.xml><?xml version="1.0" encoding="utf-8"?>
<ds:datastoreItem xmlns:ds="http://schemas.openxmlformats.org/officeDocument/2006/customXml" ds:itemID="{750A7600-4A48-4D64-B6CC-8E39B7A40602}"/>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10007</Characters>
  <Application>Microsoft Office Word</Application>
  <DocSecurity>0</DocSecurity>
  <Lines>83</Lines>
  <Paragraphs>22</Paragraphs>
  <ScaleCrop>false</ScaleCrop>
  <HeadingPairs>
    <vt:vector size="2" baseType="variant">
      <vt:variant>
        <vt:lpstr>Otsikko</vt:lpstr>
      </vt:variant>
      <vt:variant>
        <vt:i4>1</vt:i4>
      </vt:variant>
    </vt:vector>
  </HeadingPairs>
  <TitlesOfParts>
    <vt:vector size="1" baseType="lpstr">
      <vt:lpstr>Sydämen aineenvaihdunnan PET-TT, sarkoidoosin arviointi oys kuv men</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Sydämen aineenvaihdunnan PET-tt, sarkoidoosin arviointi oys kuv men</dc:title>
  <dc:subject/>
  <dc:creator/>
  <cp:keywords/>
  <dc:description/>
  <cp:lastModifiedBy/>
  <cp:revision>1</cp:revision>
  <dcterms:created xsi:type="dcterms:W3CDTF">2024-09-17T06:55:00Z</dcterms:created>
  <dcterms:modified xsi:type="dcterms:W3CDTF">2025-01-14T07:55:00Z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978;#Projektio-/ tutkimusohjeet|00f9cfd7-e55b-40e2-b514-2b376e6bcb08</vt:lpwstr>
  </property>
  <property fmtid="{D5CDD505-2E9C-101B-9397-08002B2CF9AE}" pid="14" name="TaxKeyword">
    <vt:lpwstr/>
  </property>
  <property fmtid="{D5CDD505-2E9C-101B-9397-08002B2CF9AE}" pid="15" name="Kuvantamisen ikäryhmä">
    <vt:lpwstr>886;#Aikuinen|cf8c4afd-4c54-4b39-817d-454341937ee5</vt:lpwstr>
  </property>
  <property fmtid="{D5CDD505-2E9C-101B-9397-08002B2CF9AE}" pid="16" name="Kuvantamisen laite- tai huonetieto">
    <vt:lpwstr/>
  </property>
  <property fmtid="{D5CDD505-2E9C-101B-9397-08002B2CF9AE}" pid="17" name="xd_ProgID">
    <vt:lpwstr/>
  </property>
  <property fmtid="{D5CDD505-2E9C-101B-9397-08002B2CF9AE}" pid="18" name="TemplateUrl">
    <vt:lpwstr/>
  </property>
  <property fmtid="{D5CDD505-2E9C-101B-9397-08002B2CF9AE}" pid="19" name="_dlc_DocIdItemGuid">
    <vt:lpwstr>afcd6917-dad7-463d-9f00-86c3dfb95c77</vt:lpwstr>
  </property>
  <property fmtid="{D5CDD505-2E9C-101B-9397-08002B2CF9AE}" pid="20" name="Dokumentti jaetaan myös ekstranetissä">
    <vt:bool>false</vt:bool>
  </property>
  <property fmtid="{D5CDD505-2E9C-101B-9397-08002B2CF9AE}" pid="21" name="Kuvantamisen ohjeen elinryhmät (sisältötyypin metatieto)">
    <vt:lpwstr>980;#Vartalo|3b19d0f0-710a-4133-b766-da4d9ae00ed9</vt:lpwstr>
  </property>
  <property fmtid="{D5CDD505-2E9C-101B-9397-08002B2CF9AE}" pid="22" name="Erikoisala">
    <vt:lpwstr>528;#kliininen fysiologia ja isotooppilääketiede (PPSHP)|10be52ec-d72f-4414-83a0-e978b3b2251e</vt:lpwstr>
  </property>
  <property fmtid="{D5CDD505-2E9C-101B-9397-08002B2CF9AE}" pid="23" name="Organisaatiotiedon tarkennus toiminnan mukaan">
    <vt:lpwstr/>
  </property>
  <property fmtid="{D5CDD505-2E9C-101B-9397-08002B2CF9AE}" pid="24" name="_NewReviewCycle">
    <vt:lpwstr/>
  </property>
  <property fmtid="{D5CDD505-2E9C-101B-9397-08002B2CF9AE}" pid="25" name="Toiminnanohjauskäsikirja">
    <vt:lpwstr>43;#5.3.1.2 potilasohjeiden hallinta|635488d5-3c78-4315-a204-20ebdac0c904</vt:lpwstr>
  </property>
  <property fmtid="{D5CDD505-2E9C-101B-9397-08002B2CF9AE}" pid="26" name="Kuvantamisen ohjeen tutkimusryhmät (sisältötyypin metatieto)">
    <vt:lpwstr>650;#Isotooppi|34089549-f79f-4d4d-844a-676cbbb5d2e1</vt:lpwstr>
  </property>
  <property fmtid="{D5CDD505-2E9C-101B-9397-08002B2CF9AE}" pid="27" name="Organisaatiotieto">
    <vt:lpwstr>530;#F-röntgen|7a8b252b-5427-4881-bb54-12bb230821fb</vt:lpwstr>
  </property>
  <property fmtid="{D5CDD505-2E9C-101B-9397-08002B2CF9AE}" pid="28" name="Kuvantamisen tilaaja vai menetelmä">
    <vt:lpwstr>1313;#Menetelmäohje|8d7551ed-f25f-4658-af35-e281bf9731e8</vt:lpwstr>
  </property>
  <property fmtid="{D5CDD505-2E9C-101B-9397-08002B2CF9AE}" pid="29" name="Toimenpidekoodit">
    <vt:lpwstr>1168;#FM1JR Sydämen aineenvaihdunnan laaja PET-tietokonetomografiatutkimus|dce4e3a8-019a-451d-8d2f-6d4337d45bf2</vt:lpwstr>
  </property>
  <property fmtid="{D5CDD505-2E9C-101B-9397-08002B2CF9AE}" pid="30" name="Kohde- / työntekijäryhmä">
    <vt:lpwstr>42;#Potilaan hoitoon osallistuva henkilöstö|21074a2b-1b44-417e-9c72-4d731d4c7a78</vt:lpwstr>
  </property>
  <property fmtid="{D5CDD505-2E9C-101B-9397-08002B2CF9AE}" pid="31" name="xd_Signature">
    <vt:bool>false</vt:bool>
  </property>
  <property fmtid="{D5CDD505-2E9C-101B-9397-08002B2CF9AE}" pid="32" name="Kohdeorganisaatio">
    <vt:lpwstr>1;#Pohjois-Pohjanmaan sairaanhoitopiiri|be8cbbf1-c5fa-44e0-8d6c-f88ba4a3bcc6</vt:lpwstr>
  </property>
  <property fmtid="{D5CDD505-2E9C-101B-9397-08002B2CF9AE}" pid="33" name="Kriisiviestintä">
    <vt:lpwstr/>
  </property>
  <property fmtid="{D5CDD505-2E9C-101B-9397-08002B2CF9AE}" pid="34" name="MEO">
    <vt:lpwstr/>
  </property>
  <property fmtid="{D5CDD505-2E9C-101B-9397-08002B2CF9AE}" pid="35" name="Order">
    <vt:r8>399900</vt:r8>
  </property>
  <property fmtid="{D5CDD505-2E9C-101B-9397-08002B2CF9AE}" pid="37" name="_EmailSubject">
    <vt:lpwstr>ohjeen ohje</vt:lpwstr>
  </property>
  <property fmtid="{D5CDD505-2E9C-101B-9397-08002B2CF9AE}" pid="38" name="TaxKeywordTaxHTField">
    <vt:lpwstr/>
  </property>
  <property fmtid="{D5CDD505-2E9C-101B-9397-08002B2CF9AE}" pid="39" name="_AuthorEmail">
    <vt:lpwstr>Leila.H.Makela@ppshp.fi</vt:lpwstr>
  </property>
  <property fmtid="{D5CDD505-2E9C-101B-9397-08002B2CF9AE}" pid="40" name="_AuthorEmailDisplayName">
    <vt:lpwstr>Mäkelä Leila Helena Lab.</vt:lpwstr>
  </property>
  <property fmtid="{D5CDD505-2E9C-101B-9397-08002B2CF9AE}" pid="41" name="SharedWithUsers">
    <vt:lpwstr/>
  </property>
</Properties>
</file>